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E65" w:rsidRPr="00902217" w:rsidRDefault="00902217">
      <w:pPr>
        <w:tabs>
          <w:tab w:val="left" w:pos="709"/>
        </w:tabs>
        <w:spacing w:after="0" w:line="276" w:lineRule="auto"/>
        <w:ind w:firstLine="6236"/>
        <w:jc w:val="both"/>
        <w:rPr>
          <w:rFonts w:ascii="Times New Roman" w:eastAsia="Times New Roman" w:hAnsi="Times New Roman" w:cs="Times New Roman"/>
          <w:lang w:val="ru-RU"/>
        </w:rPr>
      </w:pPr>
      <w:bookmarkStart w:id="0" w:name="_GoBack"/>
      <w:bookmarkEnd w:id="0"/>
      <w:r w:rsidRPr="00902217">
        <w:rPr>
          <w:rFonts w:ascii="Times New Roman" w:eastAsia="Times New Roman" w:hAnsi="Times New Roman" w:cs="Times New Roman"/>
          <w:lang w:val="ru-RU"/>
        </w:rPr>
        <w:t xml:space="preserve">Додаток </w:t>
      </w:r>
    </w:p>
    <w:p w:rsidR="00275E65" w:rsidRPr="00902217" w:rsidRDefault="00902217">
      <w:pPr>
        <w:tabs>
          <w:tab w:val="left" w:pos="709"/>
        </w:tabs>
        <w:spacing w:after="0" w:line="276" w:lineRule="auto"/>
        <w:ind w:firstLine="6236"/>
        <w:jc w:val="both"/>
        <w:rPr>
          <w:rFonts w:ascii="Times New Roman" w:eastAsia="Times New Roman" w:hAnsi="Times New Roman" w:cs="Times New Roman"/>
          <w:lang w:val="ru-RU"/>
        </w:rPr>
      </w:pPr>
      <w:r w:rsidRPr="00902217">
        <w:rPr>
          <w:rFonts w:ascii="Times New Roman" w:eastAsia="Times New Roman" w:hAnsi="Times New Roman" w:cs="Times New Roman"/>
          <w:lang w:val="ru-RU"/>
        </w:rPr>
        <w:t>до рішення 51 сесії міської ради</w:t>
      </w:r>
    </w:p>
    <w:p w:rsidR="00275E65" w:rsidRDefault="00902217">
      <w:pPr>
        <w:tabs>
          <w:tab w:val="left" w:pos="709"/>
        </w:tabs>
        <w:spacing w:after="0" w:line="276" w:lineRule="auto"/>
        <w:ind w:firstLine="6236"/>
        <w:jc w:val="both"/>
        <w:rPr>
          <w:rFonts w:ascii="Times New Roman" w:eastAsia="Times New Roman" w:hAnsi="Times New Roman" w:cs="Times New Roman"/>
        </w:rPr>
      </w:pPr>
      <w:r>
        <w:rPr>
          <w:rFonts w:ascii="Times New Roman" w:eastAsia="Times New Roman" w:hAnsi="Times New Roman" w:cs="Times New Roman"/>
        </w:rPr>
        <w:t>восьмого скликання</w:t>
      </w:r>
    </w:p>
    <w:p w:rsidR="00275E65" w:rsidRDefault="00902217">
      <w:pPr>
        <w:tabs>
          <w:tab w:val="left" w:pos="709"/>
        </w:tabs>
        <w:spacing w:after="0" w:line="276" w:lineRule="auto"/>
        <w:ind w:firstLine="6236"/>
        <w:jc w:val="both"/>
        <w:rPr>
          <w:rFonts w:ascii="Times New Roman" w:eastAsia="Times New Roman" w:hAnsi="Times New Roman" w:cs="Times New Roman"/>
        </w:rPr>
      </w:pPr>
      <w:r>
        <w:rPr>
          <w:rFonts w:ascii="Times New Roman" w:eastAsia="Times New Roman" w:hAnsi="Times New Roman" w:cs="Times New Roman"/>
        </w:rPr>
        <w:t>від 16.08.2024 року №3/51/VIII</w:t>
      </w:r>
    </w:p>
    <w:p w:rsidR="00275E65" w:rsidRDefault="00902217">
      <w:pPr>
        <w:tabs>
          <w:tab w:val="left" w:pos="709"/>
        </w:tabs>
        <w:spacing w:after="0" w:line="276" w:lineRule="auto"/>
        <w:jc w:val="both"/>
        <w:rPr>
          <w:rFonts w:ascii="Times New Roman" w:hAnsi="Times New Roman" w:cs="Times New Roman"/>
          <w:lang w:val="uk-UA"/>
        </w:rPr>
      </w:pPr>
      <w:r>
        <w:rPr>
          <w:rFonts w:ascii="Times New Roman" w:hAnsi="Times New Roman" w:cs="Times New Roman"/>
          <w:noProof/>
          <w:lang w:val="ru-RU" w:eastAsia="ru-RU"/>
        </w:rPr>
        <mc:AlternateContent>
          <mc:Choice Requires="wpg">
            <w:drawing>
              <wp:anchor distT="0" distB="0" distL="114300" distR="114300" simplePos="0" relativeHeight="251695616" behindDoc="1" locked="0" layoutInCell="1" allowOverlap="1">
                <wp:simplePos x="0" y="0"/>
                <wp:positionH relativeFrom="column">
                  <wp:posOffset>61595</wp:posOffset>
                </wp:positionH>
                <wp:positionV relativeFrom="paragraph">
                  <wp:posOffset>520700</wp:posOffset>
                </wp:positionV>
                <wp:extent cx="4839335" cy="7529830"/>
                <wp:effectExtent l="0" t="0" r="0" b="0"/>
                <wp:wrapNone/>
                <wp:docPr id="5" name="Прямокутник 59"/>
                <wp:cNvGraphicFramePr/>
                <a:graphic xmlns:a="http://schemas.openxmlformats.org/drawingml/2006/main">
                  <a:graphicData uri="http://schemas.microsoft.com/office/word/2010/wordprocessingShape">
                    <wps:wsp>
                      <wps:cNvSpPr/>
                      <wps:spPr bwMode="auto">
                        <a:xfrm>
                          <a:off x="0" y="0"/>
                          <a:ext cx="4839335" cy="75298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xmlns:a="http://schemas.openxmlformats.org/drawingml/2006/main" xmlns:w15="http://schemas.microsoft.com/office/word/2012/wordml">
            <w:pict>
              <v:shape id="shape 4" o:spid="_x0000_s4" o:spt="1" style="position:absolute;mso-wrap-distance-left:9.0pt;mso-wrap-distance-top:0.0pt;mso-wrap-distance-right:9.0pt;mso-wrap-distance-bottom:0.0pt;z-index:-251695616;o:allowoverlap:true;o:allowincell:true;mso-position-horizontal-relative:text;margin-left:4.8pt;mso-position-horizontal:absolute;mso-position-vertical-relative:text;margin-top:41.0pt;mso-position-vertical:absolute;width:381.0pt;height:592.9pt;" coordsize="100000,100000" path="" fillcolor="#4472C4" stroked="f" strokeweight="1.00pt">
                <v:path textboxrect="0,0,0,0"/>
              </v:shape>
            </w:pict>
          </mc:Fallback>
        </mc:AlternateContent>
      </w: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902217">
      <w:pPr>
        <w:tabs>
          <w:tab w:val="left" w:pos="709"/>
        </w:tabs>
        <w:spacing w:after="0" w:line="276" w:lineRule="auto"/>
        <w:ind w:firstLine="567"/>
        <w:jc w:val="center"/>
        <w:rPr>
          <w:rFonts w:ascii="Times New Roman" w:hAnsi="Times New Roman" w:cs="Times New Roman"/>
          <w:lang w:val="uk-UA"/>
        </w:rPr>
      </w:pPr>
      <w:r>
        <w:rPr>
          <w:rFonts w:ascii="Times New Roman" w:hAnsi="Times New Roman" w:cs="Times New Roman"/>
          <w:noProof/>
          <w:lang w:val="ru-RU" w:eastAsia="ru-RU"/>
        </w:rPr>
        <mc:AlternateContent>
          <mc:Choice Requires="wpg">
            <w:drawing>
              <wp:anchor distT="0" distB="0" distL="114300" distR="114300" simplePos="0" relativeHeight="251703808" behindDoc="1" locked="0" layoutInCell="1" allowOverlap="1">
                <wp:simplePos x="0" y="0"/>
                <wp:positionH relativeFrom="column">
                  <wp:posOffset>5139498</wp:posOffset>
                </wp:positionH>
                <wp:positionV relativeFrom="paragraph">
                  <wp:posOffset>162028</wp:posOffset>
                </wp:positionV>
                <wp:extent cx="1245235" cy="7549117"/>
                <wp:effectExtent l="0" t="0" r="0" b="0"/>
                <wp:wrapNone/>
                <wp:docPr id="6" name="Прямокутник 61"/>
                <wp:cNvGraphicFramePr/>
                <a:graphic xmlns:a="http://schemas.openxmlformats.org/drawingml/2006/main">
                  <a:graphicData uri="http://schemas.microsoft.com/office/word/2010/wordprocessingShape">
                    <wps:wsp>
                      <wps:cNvSpPr/>
                      <wps:spPr bwMode="auto">
                        <a:xfrm>
                          <a:off x="0" y="0"/>
                          <a:ext cx="1245235" cy="7549117"/>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5" o:spid="_x0000_s5" o:spt="1" style="position:absolute;mso-wrap-distance-left:9.0pt;mso-wrap-distance-top:0.0pt;mso-wrap-distance-right:9.0pt;mso-wrap-distance-bottom:0.0pt;z-index:-251703808;o:allowoverlap:true;o:allowincell:true;mso-position-horizontal-relative:text;margin-left:404.7pt;mso-position-horizontal:absolute;mso-position-vertical-relative:text;margin-top:12.8pt;mso-position-vertical:absolute;width:98.0pt;height:594.4pt;" coordsize="100000,100000" path="" fillcolor="#7F7F7F" stroked="f" strokeweight="1.00pt">
                <v:path textboxrect="0,0,0,0"/>
              </v:shape>
            </w:pict>
          </mc:Fallback>
        </mc:AlternateContent>
      </w: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902217">
      <w:pPr>
        <w:tabs>
          <w:tab w:val="left" w:pos="709"/>
        </w:tabs>
        <w:spacing w:after="0" w:line="276" w:lineRule="auto"/>
        <w:ind w:right="2268" w:firstLine="567"/>
        <w:jc w:val="right"/>
        <w:rPr>
          <w:rFonts w:ascii="Times New Roman" w:hAnsi="Times New Roman" w:cs="Times New Roman"/>
          <w:lang w:val="uk-UA"/>
        </w:rPr>
      </w:pPr>
      <w:r>
        <w:rPr>
          <w:rFonts w:ascii="Times New Roman" w:hAnsi="Times New Roman" w:cs="Times New Roman"/>
          <w:noProof/>
          <w:lang w:val="ru-RU" w:eastAsia="ru-RU"/>
        </w:rPr>
        <mc:AlternateContent>
          <mc:Choice Requires="wpg">
            <w:drawing>
              <wp:inline distT="0" distB="0" distL="0" distR="0">
                <wp:extent cx="2172003" cy="1448002"/>
                <wp:effectExtent l="0" t="0" r="0" b="0"/>
                <wp:docPr id="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11"/>
                        <a:stretch/>
                      </pic:blipFill>
                      <pic:spPr bwMode="auto">
                        <a:xfrm>
                          <a:off x="0" y="0"/>
                          <a:ext cx="2172003" cy="1448002"/>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171.0pt;height:114.0pt;" stroked="false">
                <v:path textboxrect="0,0,0,0"/>
                <v:imagedata r:id="rId15" o:title=""/>
              </v:shape>
            </w:pict>
          </mc:Fallback>
        </mc:AlternateContent>
      </w: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right="2268" w:firstLine="567"/>
        <w:jc w:val="right"/>
        <w:rPr>
          <w:rFonts w:ascii="Times New Roman" w:hAnsi="Times New Roman" w:cs="Times New Roman"/>
          <w:color w:val="FFFFFF"/>
          <w:sz w:val="32"/>
          <w:lang w:val="uk-UA"/>
        </w:rPr>
      </w:pPr>
    </w:p>
    <w:p w:rsidR="00275E65" w:rsidRDefault="00275E65">
      <w:pPr>
        <w:tabs>
          <w:tab w:val="left" w:pos="709"/>
        </w:tabs>
        <w:spacing w:after="0" w:line="276" w:lineRule="auto"/>
        <w:ind w:right="2268" w:firstLine="567"/>
        <w:jc w:val="right"/>
        <w:rPr>
          <w:rFonts w:ascii="Times New Roman" w:hAnsi="Times New Roman" w:cs="Times New Roman"/>
          <w:color w:val="FFFFFF"/>
          <w:sz w:val="32"/>
          <w:lang w:val="uk-UA"/>
        </w:rPr>
      </w:pPr>
    </w:p>
    <w:p w:rsidR="00275E65" w:rsidRDefault="00275E65">
      <w:pPr>
        <w:tabs>
          <w:tab w:val="left" w:pos="709"/>
        </w:tabs>
        <w:spacing w:after="0" w:line="276" w:lineRule="auto"/>
        <w:ind w:right="2268" w:firstLine="567"/>
        <w:jc w:val="right"/>
        <w:rPr>
          <w:rFonts w:ascii="Times New Roman" w:hAnsi="Times New Roman" w:cs="Times New Roman"/>
          <w:color w:val="FFFFFF"/>
          <w:sz w:val="32"/>
          <w:lang w:val="uk-UA"/>
        </w:rPr>
      </w:pPr>
    </w:p>
    <w:p w:rsidR="00275E65" w:rsidRDefault="00902217">
      <w:pPr>
        <w:tabs>
          <w:tab w:val="left" w:pos="709"/>
        </w:tabs>
        <w:spacing w:after="0" w:line="276" w:lineRule="auto"/>
        <w:ind w:right="2268" w:firstLine="567"/>
        <w:jc w:val="right"/>
        <w:rPr>
          <w:rFonts w:ascii="Times New Roman" w:hAnsi="Times New Roman" w:cs="Times New Roman"/>
          <w:color w:val="FFFFFF"/>
          <w:sz w:val="44"/>
          <w:lang w:val="uk-UA"/>
        </w:rPr>
      </w:pPr>
      <w:r>
        <w:rPr>
          <w:rFonts w:ascii="Times New Roman" w:hAnsi="Times New Roman" w:cs="Times New Roman"/>
          <w:color w:val="FFFFFF" w:themeColor="background1"/>
          <w:sz w:val="72"/>
          <w:lang w:val="uk-UA"/>
        </w:rPr>
        <w:t xml:space="preserve">Місцевий (муніципальний) </w:t>
      </w:r>
      <w:r>
        <w:rPr>
          <w:rFonts w:ascii="Times New Roman" w:hAnsi="Times New Roman" w:cs="Times New Roman"/>
          <w:color w:val="FFFFFF" w:themeColor="background1"/>
          <w:sz w:val="72"/>
          <w:lang w:val="uk-UA"/>
        </w:rPr>
        <w:br/>
        <w:t xml:space="preserve">енергетичний план </w:t>
      </w:r>
      <w:r>
        <w:rPr>
          <w:rFonts w:ascii="Times New Roman" w:hAnsi="Times New Roman" w:cs="Times New Roman"/>
          <w:color w:val="FFFFFF" w:themeColor="background1"/>
          <w:sz w:val="44"/>
          <w:lang w:val="uk-UA"/>
        </w:rPr>
        <w:br/>
        <w:t xml:space="preserve">Носівської міської </w:t>
      </w:r>
    </w:p>
    <w:p w:rsidR="00275E65" w:rsidRDefault="00902217">
      <w:pPr>
        <w:tabs>
          <w:tab w:val="left" w:pos="709"/>
        </w:tabs>
        <w:spacing w:after="0" w:line="276" w:lineRule="auto"/>
        <w:ind w:right="2268" w:firstLine="567"/>
        <w:jc w:val="right"/>
        <w:rPr>
          <w:rFonts w:ascii="Times New Roman" w:hAnsi="Times New Roman" w:cs="Times New Roman"/>
          <w:lang w:val="uk-UA"/>
        </w:rPr>
      </w:pPr>
      <w:r>
        <w:rPr>
          <w:rFonts w:ascii="Times New Roman" w:hAnsi="Times New Roman" w:cs="Times New Roman"/>
          <w:color w:val="FFFFFF" w:themeColor="background1"/>
          <w:sz w:val="44"/>
          <w:lang w:val="uk-UA"/>
        </w:rPr>
        <w:t xml:space="preserve">територіальної громади </w:t>
      </w:r>
      <w:r>
        <w:rPr>
          <w:rFonts w:ascii="Times New Roman" w:hAnsi="Times New Roman" w:cs="Times New Roman"/>
          <w:color w:val="FFFFFF" w:themeColor="background1"/>
          <w:sz w:val="44"/>
          <w:lang w:val="uk-UA"/>
        </w:rPr>
        <w:br/>
        <w:t xml:space="preserve">Чернігівської області </w:t>
      </w: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902217">
      <w:pPr>
        <w:tabs>
          <w:tab w:val="left" w:pos="709"/>
        </w:tabs>
        <w:spacing w:after="0" w:line="276" w:lineRule="auto"/>
        <w:ind w:firstLine="567"/>
        <w:jc w:val="both"/>
        <w:rPr>
          <w:rFonts w:ascii="Times New Roman" w:hAnsi="Times New Roman" w:cs="Times New Roman"/>
          <w:b/>
          <w:i/>
          <w:sz w:val="32"/>
        </w:rPr>
      </w:pPr>
      <w:r>
        <w:rPr>
          <w:rFonts w:ascii="Times New Roman" w:hAnsi="Times New Roman" w:cs="Times New Roman"/>
          <w:noProof/>
          <w:lang w:val="ru-RU" w:eastAsia="ru-RU"/>
        </w:rPr>
        <w:lastRenderedPageBreak/>
        <mc:AlternateContent>
          <mc:Choice Requires="wpg">
            <w:drawing>
              <wp:anchor distT="45720" distB="45720" distL="114300" distR="114300" simplePos="0" relativeHeight="251718144" behindDoc="0" locked="0" layoutInCell="1" allowOverlap="1">
                <wp:simplePos x="0" y="0"/>
                <wp:positionH relativeFrom="column">
                  <wp:posOffset>1250477</wp:posOffset>
                </wp:positionH>
                <wp:positionV relativeFrom="paragraph">
                  <wp:posOffset>165365</wp:posOffset>
                </wp:positionV>
                <wp:extent cx="2360930" cy="1404620"/>
                <wp:effectExtent l="0" t="0" r="0" b="0"/>
                <wp:wrapSquare wrapText="bothSides"/>
                <wp:docPr id="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75E65" w:rsidRDefault="00902217">
                            <w:pPr>
                              <w:jc w:val="center"/>
                              <w:rPr>
                                <w:b/>
                                <w:color w:val="FFFFFF"/>
                              </w:rPr>
                            </w:pPr>
                            <w:r>
                              <w:rPr>
                                <w:b/>
                                <w:color w:val="FFFFFF" w:themeColor="background1"/>
                                <w:lang w:val="uk-UA"/>
                              </w:rPr>
                              <w:t>Травень,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http://schemas.openxmlformats.org/drawingml/2006/main" xmlns:w15="http://schemas.microsoft.com/office/word/2012/wordml">
            <w:pict>
              <v:shape id="shape 7" o:spid="_x0000_s7" o:spt="1" style="position:absolute;mso-wrap-distance-left:9.0pt;mso-wrap-distance-top:3.6pt;mso-wrap-distance-right:9.0pt;mso-wrap-distance-bottom:3.6pt;z-index:251718144;o:allowoverlap:true;o:allowincell:true;mso-position-horizontal-relative:text;margin-left:98.5pt;mso-position-horizontal:absolute;mso-position-vertical-relative:text;margin-top:13.0pt;mso-position-vertical:absolute;width:185.9pt;height:110.6pt;v-text-anchor:top;" coordsize="100000,100000" path="" filled="f" stroked="f" strokeweight="0.75pt">
                <v:path textboxrect="0,0,0,0"/>
                <w10:wrap type="square"/>
                <v:textbox>
                  <w:txbxContent>
                    <w:p>
                      <w:pPr>
                        <w:jc w:val="center"/>
                        <w:rPr>
                          <w:b/>
                          <w:color w:val="FFFFFF"/>
                        </w:rPr>
                      </w:pPr>
                      <w:r>
                        <w:rPr>
                          <w:b/>
                          <w:color w:val="FFFFFF" w:themeColor="background1"/>
                          <w:lang w:val="uk-UA"/>
                        </w:rPr>
                        <w:t xml:space="preserve">Трав</w:t>
                      </w:r>
                      <w:r>
                        <w:rPr>
                          <w:b/>
                          <w:color w:val="FFFFFF" w:themeColor="background1"/>
                          <w:lang w:val="uk-UA"/>
                        </w:rPr>
                        <w:t xml:space="preserve">ень, 20</w:t>
                      </w:r>
                      <w:r>
                        <w:rPr>
                          <w:b/>
                          <w:color w:val="FFFFFF" w:themeColor="background1"/>
                          <w:lang w:val="uk-UA"/>
                        </w:rPr>
                        <w:t xml:space="preserve">24</w:t>
                      </w:r>
                      <w:r/>
                    </w:p>
                  </w:txbxContent>
                </v:textbox>
              </v:shape>
            </w:pict>
          </mc:Fallback>
        </mc:AlternateContent>
      </w:r>
      <w:r>
        <w:rPr>
          <w:rFonts w:ascii="Times New Roman" w:hAnsi="Times New Roman" w:cs="Times New Roman"/>
          <w:b/>
          <w:bCs/>
          <w:i/>
          <w:iCs/>
          <w:sz w:val="32"/>
        </w:rPr>
        <w:t>Зміст</w:t>
      </w:r>
    </w:p>
    <w:p w:rsidR="00275E65" w:rsidRDefault="00902217">
      <w:pPr>
        <w:pStyle w:val="11"/>
        <w:tabs>
          <w:tab w:val="left" w:pos="440"/>
          <w:tab w:val="right" w:leader="dot" w:pos="9345"/>
        </w:tabs>
        <w:rPr>
          <w:rFonts w:eastAsiaTheme="minorEastAsia"/>
          <w:lang w:val="uk-UA" w:eastAsia="uk-UA"/>
        </w:rPr>
      </w:pPr>
      <w:r>
        <w:rPr>
          <w:rFonts w:ascii="Times New Roman" w:hAnsi="Times New Roman" w:cs="Times New Roman"/>
          <w:lang w:val="uk-UA"/>
        </w:rPr>
        <w:fldChar w:fldCharType="begin"/>
      </w:r>
      <w:r>
        <w:rPr>
          <w:rFonts w:ascii="Times New Roman" w:hAnsi="Times New Roman" w:cs="Times New Roman"/>
          <w:lang w:val="uk-UA"/>
        </w:rPr>
        <w:instrText xml:space="preserve"> TOC \h \z \t "Ar_Head_1;1;Ar_Head_2;2;Ar_Head_3;3" </w:instrText>
      </w:r>
      <w:r>
        <w:rPr>
          <w:rFonts w:ascii="Times New Roman" w:hAnsi="Times New Roman" w:cs="Times New Roman"/>
          <w:lang w:val="uk-UA"/>
        </w:rPr>
        <w:fldChar w:fldCharType="separate"/>
      </w:r>
      <w:hyperlink w:anchor="_Toc168064799" w:tooltip="#_Toc168064799" w:history="1">
        <w:r>
          <w:rPr>
            <w:rStyle w:val="af3"/>
            <w:rFonts w:ascii="Times New Roman" w:hAnsi="Times New Roman" w:cs="Times New Roman"/>
          </w:rPr>
          <w:t>1.</w:t>
        </w:r>
        <w:r>
          <w:rPr>
            <w:rFonts w:eastAsiaTheme="minorEastAsia"/>
            <w:lang w:val="uk-UA" w:eastAsia="uk-UA"/>
          </w:rPr>
          <w:tab/>
        </w:r>
        <w:r>
          <w:rPr>
            <w:rStyle w:val="af3"/>
            <w:rFonts w:ascii="Times New Roman" w:eastAsiaTheme="minorEastAsia" w:hAnsi="Times New Roman" w:cs="Times New Roman"/>
          </w:rPr>
          <w:t>Вступ</w:t>
        </w:r>
        <w:r>
          <w:rPr>
            <w:rFonts w:eastAsiaTheme="minorEastAsia"/>
          </w:rPr>
          <w:tab/>
        </w:r>
        <w:r>
          <w:rPr>
            <w:rFonts w:eastAsiaTheme="minorEastAsia"/>
          </w:rPr>
          <w:fldChar w:fldCharType="begin"/>
        </w:r>
        <w:r>
          <w:rPr>
            <w:rFonts w:eastAsiaTheme="minorEastAsia"/>
          </w:rPr>
          <w:instrText xml:space="preserve"> PAGEREF _Toc168064799 \h </w:instrText>
        </w:r>
        <w:r>
          <w:rPr>
            <w:rFonts w:eastAsiaTheme="minorEastAsia"/>
          </w:rPr>
        </w:r>
        <w:r>
          <w:rPr>
            <w:rFonts w:eastAsiaTheme="minorEastAsia"/>
          </w:rPr>
          <w:fldChar w:fldCharType="separate"/>
        </w:r>
        <w:r>
          <w:rPr>
            <w:rFonts w:eastAsiaTheme="minorEastAsia"/>
          </w:rPr>
          <w:t>7</w:t>
        </w:r>
        <w:r>
          <w:rPr>
            <w:rFonts w:eastAsiaTheme="minorEastAsia"/>
          </w:rPr>
          <w:fldChar w:fldCharType="end"/>
        </w:r>
      </w:hyperlink>
    </w:p>
    <w:p w:rsidR="00275E65" w:rsidRDefault="00902217">
      <w:pPr>
        <w:pStyle w:val="11"/>
        <w:tabs>
          <w:tab w:val="left" w:pos="440"/>
          <w:tab w:val="right" w:leader="dot" w:pos="9345"/>
        </w:tabs>
        <w:rPr>
          <w:rFonts w:eastAsiaTheme="minorEastAsia"/>
          <w:lang w:val="uk-UA" w:eastAsia="uk-UA"/>
        </w:rPr>
      </w:pPr>
      <w:hyperlink w:anchor="_Toc168064800" w:tooltip="#_Toc168064800" w:history="1">
        <w:r>
          <w:rPr>
            <w:rStyle w:val="af3"/>
            <w:rFonts w:ascii="Times New Roman" w:eastAsiaTheme="minorEastAsia" w:hAnsi="Times New Roman" w:cs="Times New Roman"/>
          </w:rPr>
          <w:t>2.</w:t>
        </w:r>
        <w:r>
          <w:rPr>
            <w:rFonts w:eastAsiaTheme="minorEastAsia"/>
            <w:lang w:val="uk-UA" w:eastAsia="uk-UA"/>
          </w:rPr>
          <w:tab/>
        </w:r>
        <w:r>
          <w:rPr>
            <w:rStyle w:val="af3"/>
            <w:rFonts w:ascii="Times New Roman" w:eastAsiaTheme="minorEastAsia" w:hAnsi="Times New Roman" w:cs="Times New Roman"/>
          </w:rPr>
          <w:t>Резюме МЕП</w:t>
        </w:r>
        <w:r>
          <w:rPr>
            <w:rFonts w:eastAsiaTheme="minorEastAsia"/>
          </w:rPr>
          <w:tab/>
        </w:r>
        <w:r>
          <w:rPr>
            <w:rFonts w:eastAsiaTheme="minorEastAsia"/>
          </w:rPr>
          <w:fldChar w:fldCharType="begin"/>
        </w:r>
        <w:r>
          <w:rPr>
            <w:rFonts w:eastAsiaTheme="minorEastAsia"/>
          </w:rPr>
          <w:instrText xml:space="preserve"> PAGEREF _Toc168064800 \h </w:instrText>
        </w:r>
        <w:r>
          <w:rPr>
            <w:rFonts w:eastAsiaTheme="minorEastAsia"/>
          </w:rPr>
        </w:r>
        <w:r>
          <w:rPr>
            <w:rFonts w:eastAsiaTheme="minorEastAsia"/>
          </w:rPr>
          <w:fldChar w:fldCharType="separate"/>
        </w:r>
        <w:r>
          <w:rPr>
            <w:rFonts w:eastAsiaTheme="minorEastAsia"/>
          </w:rPr>
          <w:t>8</w:t>
        </w:r>
        <w:r>
          <w:rPr>
            <w:rFonts w:eastAsiaTheme="minorEastAsia"/>
          </w:rPr>
          <w:fldChar w:fldCharType="end"/>
        </w:r>
      </w:hyperlink>
    </w:p>
    <w:p w:rsidR="00275E65" w:rsidRDefault="00902217">
      <w:pPr>
        <w:pStyle w:val="11"/>
        <w:tabs>
          <w:tab w:val="left" w:pos="440"/>
          <w:tab w:val="right" w:leader="dot" w:pos="9345"/>
        </w:tabs>
        <w:rPr>
          <w:rFonts w:eastAsiaTheme="minorEastAsia"/>
          <w:lang w:val="uk-UA" w:eastAsia="uk-UA"/>
        </w:rPr>
      </w:pPr>
      <w:hyperlink w:anchor="_Toc168064801" w:tooltip="#_Toc168064801" w:history="1">
        <w:r>
          <w:rPr>
            <w:rStyle w:val="af3"/>
            <w:rFonts w:ascii="Times New Roman" w:eastAsiaTheme="minorEastAsia" w:hAnsi="Times New Roman" w:cs="Times New Roman"/>
          </w:rPr>
          <w:t>3.</w:t>
        </w:r>
        <w:r>
          <w:rPr>
            <w:rFonts w:eastAsiaTheme="minorEastAsia"/>
            <w:lang w:val="uk-UA" w:eastAsia="uk-UA"/>
          </w:rPr>
          <w:tab/>
        </w:r>
        <w:r>
          <w:rPr>
            <w:rStyle w:val="af3"/>
            <w:rFonts w:ascii="Times New Roman" w:eastAsiaTheme="minorEastAsia" w:hAnsi="Times New Roman" w:cs="Times New Roman"/>
          </w:rPr>
          <w:t>Аналіз вихідного стану енергетичного розвитку територіальної громади</w:t>
        </w:r>
        <w:r>
          <w:rPr>
            <w:rFonts w:eastAsiaTheme="minorEastAsia"/>
          </w:rPr>
          <w:tab/>
        </w:r>
        <w:r>
          <w:rPr>
            <w:rFonts w:eastAsiaTheme="minorEastAsia"/>
          </w:rPr>
          <w:fldChar w:fldCharType="begin"/>
        </w:r>
        <w:r>
          <w:rPr>
            <w:rFonts w:eastAsiaTheme="minorEastAsia"/>
          </w:rPr>
          <w:instrText xml:space="preserve"> PAGEREF _Toc168</w:instrText>
        </w:r>
        <w:r>
          <w:rPr>
            <w:rFonts w:eastAsiaTheme="minorEastAsia"/>
          </w:rPr>
          <w:instrText xml:space="preserve">064801 \h </w:instrText>
        </w:r>
        <w:r>
          <w:rPr>
            <w:rFonts w:eastAsiaTheme="minorEastAsia"/>
          </w:rPr>
        </w:r>
        <w:r>
          <w:rPr>
            <w:rFonts w:eastAsiaTheme="minorEastAsia"/>
          </w:rPr>
          <w:fldChar w:fldCharType="separate"/>
        </w:r>
        <w:r>
          <w:rPr>
            <w:rFonts w:eastAsiaTheme="minorEastAsia"/>
          </w:rPr>
          <w:t>9</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02" w:tooltip="#_Toc168064802" w:history="1">
        <w:r>
          <w:rPr>
            <w:rStyle w:val="af3"/>
            <w:rFonts w:ascii="Times New Roman" w:eastAsiaTheme="minorEastAsia" w:hAnsi="Times New Roman" w:cs="Times New Roman"/>
          </w:rPr>
          <w:t>3.1.</w:t>
        </w:r>
        <w:r>
          <w:rPr>
            <w:rFonts w:eastAsiaTheme="minorEastAsia"/>
            <w:lang w:val="uk-UA" w:eastAsia="uk-UA"/>
          </w:rPr>
          <w:tab/>
        </w:r>
        <w:r>
          <w:rPr>
            <w:rStyle w:val="af3"/>
            <w:rFonts w:ascii="Times New Roman" w:eastAsiaTheme="minorEastAsia" w:hAnsi="Times New Roman" w:cs="Times New Roman"/>
          </w:rPr>
          <w:t>Коротка характеристика громади</w:t>
        </w:r>
        <w:r>
          <w:rPr>
            <w:rFonts w:eastAsiaTheme="minorEastAsia"/>
          </w:rPr>
          <w:tab/>
        </w:r>
        <w:r>
          <w:rPr>
            <w:rFonts w:eastAsiaTheme="minorEastAsia"/>
          </w:rPr>
          <w:fldChar w:fldCharType="begin"/>
        </w:r>
        <w:r>
          <w:rPr>
            <w:rFonts w:eastAsiaTheme="minorEastAsia"/>
          </w:rPr>
          <w:instrText xml:space="preserve"> PAGEREF _Toc168064802 \h </w:instrText>
        </w:r>
        <w:r>
          <w:rPr>
            <w:rFonts w:eastAsiaTheme="minorEastAsia"/>
          </w:rPr>
        </w:r>
        <w:r>
          <w:rPr>
            <w:rFonts w:eastAsiaTheme="minorEastAsia"/>
          </w:rPr>
          <w:fldChar w:fldCharType="separate"/>
        </w:r>
        <w:r>
          <w:rPr>
            <w:rFonts w:eastAsiaTheme="minorEastAsia"/>
          </w:rPr>
          <w:t>9</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03" w:tooltip="#_Toc168064803" w:history="1">
        <w:r>
          <w:rPr>
            <w:rStyle w:val="af3"/>
            <w:rFonts w:ascii="Times New Roman" w:eastAsiaTheme="minorEastAsia" w:hAnsi="Times New Roman" w:cs="Times New Roman"/>
          </w:rPr>
          <w:t>3.2.</w:t>
        </w:r>
        <w:r>
          <w:rPr>
            <w:rFonts w:eastAsiaTheme="minorEastAsia"/>
            <w:lang w:val="uk-UA" w:eastAsia="uk-UA"/>
          </w:rPr>
          <w:tab/>
        </w:r>
        <w:r>
          <w:rPr>
            <w:rStyle w:val="af3"/>
            <w:rFonts w:ascii="Times New Roman" w:eastAsiaTheme="minorEastAsia" w:hAnsi="Times New Roman" w:cs="Times New Roman"/>
          </w:rPr>
          <w:t>Коротка характеристика енергетичного сектору громади</w:t>
        </w:r>
        <w:r>
          <w:rPr>
            <w:rFonts w:eastAsiaTheme="minorEastAsia"/>
          </w:rPr>
          <w:tab/>
        </w:r>
        <w:r>
          <w:rPr>
            <w:rFonts w:eastAsiaTheme="minorEastAsia"/>
          </w:rPr>
          <w:fldChar w:fldCharType="begin"/>
        </w:r>
        <w:r>
          <w:rPr>
            <w:rFonts w:eastAsiaTheme="minorEastAsia"/>
          </w:rPr>
          <w:instrText xml:space="preserve"> PAGEREF _Toc168064803 \h </w:instrText>
        </w:r>
        <w:r>
          <w:rPr>
            <w:rFonts w:eastAsiaTheme="minorEastAsia"/>
          </w:rPr>
        </w:r>
        <w:r>
          <w:rPr>
            <w:rFonts w:eastAsiaTheme="minorEastAsia"/>
          </w:rPr>
          <w:fldChar w:fldCharType="separate"/>
        </w:r>
        <w:r>
          <w:rPr>
            <w:rFonts w:eastAsiaTheme="minorEastAsia"/>
          </w:rPr>
          <w:t>10</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04" w:tooltip="#_Toc168064804" w:history="1">
        <w:r>
          <w:rPr>
            <w:rStyle w:val="af3"/>
            <w:rFonts w:ascii="Times New Roman" w:eastAsiaTheme="minorEastAsia" w:hAnsi="Times New Roman" w:cs="Times New Roman"/>
          </w:rPr>
          <w:t>3.3.</w:t>
        </w:r>
        <w:r>
          <w:rPr>
            <w:rFonts w:eastAsiaTheme="minorEastAsia"/>
            <w:lang w:val="uk-UA" w:eastAsia="uk-UA"/>
          </w:rPr>
          <w:tab/>
        </w:r>
        <w:r>
          <w:rPr>
            <w:rStyle w:val="af3"/>
            <w:rFonts w:ascii="Times New Roman" w:eastAsiaTheme="minorEastAsia" w:hAnsi="Times New Roman" w:cs="Times New Roman"/>
          </w:rPr>
          <w:t>Річний баланс енергоспоживання</w:t>
        </w:r>
        <w:r>
          <w:rPr>
            <w:rFonts w:eastAsiaTheme="minorEastAsia"/>
          </w:rPr>
          <w:tab/>
        </w:r>
        <w:r>
          <w:rPr>
            <w:rFonts w:eastAsiaTheme="minorEastAsia"/>
          </w:rPr>
          <w:fldChar w:fldCharType="begin"/>
        </w:r>
        <w:r>
          <w:rPr>
            <w:rFonts w:eastAsiaTheme="minorEastAsia"/>
          </w:rPr>
          <w:instrText xml:space="preserve"> PAGEREF _Toc168064804 \h </w:instrText>
        </w:r>
        <w:r>
          <w:rPr>
            <w:rFonts w:eastAsiaTheme="minorEastAsia"/>
          </w:rPr>
        </w:r>
        <w:r>
          <w:rPr>
            <w:rFonts w:eastAsiaTheme="minorEastAsia"/>
          </w:rPr>
          <w:fldChar w:fldCharType="separate"/>
        </w:r>
        <w:r>
          <w:rPr>
            <w:rFonts w:eastAsiaTheme="minorEastAsia"/>
          </w:rPr>
          <w:t>11</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05" w:tooltip="#_Toc168064805" w:history="1">
        <w:r>
          <w:rPr>
            <w:rStyle w:val="af3"/>
            <w:rFonts w:ascii="Times New Roman" w:eastAsiaTheme="minorEastAsia" w:hAnsi="Times New Roman" w:cs="Times New Roman"/>
            <w:lang w:val="ru-RU"/>
          </w:rPr>
          <w:t>3.4.</w:t>
        </w:r>
        <w:r>
          <w:rPr>
            <w:rFonts w:eastAsiaTheme="minorEastAsia"/>
            <w:lang w:val="uk-UA" w:eastAsia="uk-UA"/>
          </w:rPr>
          <w:tab/>
        </w:r>
        <w:r>
          <w:rPr>
            <w:rStyle w:val="af3"/>
            <w:rFonts w:ascii="Times New Roman" w:eastAsiaTheme="minorEastAsia" w:hAnsi="Times New Roman" w:cs="Times New Roman"/>
          </w:rPr>
          <w:t>Енергетичний та</w:t>
        </w:r>
        <w:r>
          <w:rPr>
            <w:rStyle w:val="af3"/>
            <w:rFonts w:ascii="Times New Roman" w:eastAsiaTheme="minorEastAsia" w:hAnsi="Times New Roman" w:cs="Times New Roman"/>
          </w:rPr>
          <w:t xml:space="preserve"> інвестиційний баланс громади</w:t>
        </w:r>
        <w:r>
          <w:rPr>
            <w:rFonts w:eastAsiaTheme="minorEastAsia"/>
          </w:rPr>
          <w:tab/>
        </w:r>
        <w:r>
          <w:rPr>
            <w:rFonts w:eastAsiaTheme="minorEastAsia"/>
          </w:rPr>
          <w:fldChar w:fldCharType="begin"/>
        </w:r>
        <w:r>
          <w:rPr>
            <w:rFonts w:eastAsiaTheme="minorEastAsia"/>
          </w:rPr>
          <w:instrText xml:space="preserve"> PAGEREF _Toc168064805 \h </w:instrText>
        </w:r>
        <w:r>
          <w:rPr>
            <w:rFonts w:eastAsiaTheme="minorEastAsia"/>
          </w:rPr>
        </w:r>
        <w:r>
          <w:rPr>
            <w:rFonts w:eastAsiaTheme="minorEastAsia"/>
          </w:rPr>
          <w:fldChar w:fldCharType="separate"/>
        </w:r>
        <w:r>
          <w:rPr>
            <w:rFonts w:eastAsiaTheme="minorEastAsia"/>
          </w:rPr>
          <w:t>13</w:t>
        </w:r>
        <w:r>
          <w:rPr>
            <w:rFonts w:eastAsiaTheme="minorEastAsia"/>
          </w:rPr>
          <w:fldChar w:fldCharType="end"/>
        </w:r>
      </w:hyperlink>
    </w:p>
    <w:p w:rsidR="00275E65" w:rsidRDefault="00902217">
      <w:pPr>
        <w:pStyle w:val="31"/>
        <w:tabs>
          <w:tab w:val="left" w:pos="1320"/>
          <w:tab w:val="right" w:leader="dot" w:pos="9345"/>
        </w:tabs>
        <w:rPr>
          <w:rFonts w:eastAsiaTheme="minorEastAsia"/>
          <w:lang w:val="uk-UA" w:eastAsia="uk-UA"/>
        </w:rPr>
      </w:pPr>
      <w:hyperlink w:anchor="_Toc168064806" w:tooltip="#_Toc168064806" w:history="1">
        <w:r>
          <w:rPr>
            <w:rStyle w:val="af3"/>
            <w:rFonts w:ascii="Times New Roman" w:eastAsiaTheme="minorEastAsia" w:hAnsi="Times New Roman" w:cs="Times New Roman"/>
          </w:rPr>
          <w:t>3.4.1.</w:t>
        </w:r>
        <w:r>
          <w:rPr>
            <w:rFonts w:eastAsiaTheme="minorEastAsia"/>
            <w:lang w:val="uk-UA" w:eastAsia="uk-UA"/>
          </w:rPr>
          <w:tab/>
        </w:r>
        <w:r>
          <w:rPr>
            <w:rStyle w:val="af3"/>
            <w:rFonts w:ascii="Times New Roman" w:eastAsiaTheme="minorEastAsia" w:hAnsi="Times New Roman" w:cs="Times New Roman"/>
          </w:rPr>
          <w:t>Енергетичні баланси</w:t>
        </w:r>
        <w:r>
          <w:rPr>
            <w:rFonts w:eastAsiaTheme="minorEastAsia"/>
          </w:rPr>
          <w:tab/>
        </w:r>
        <w:r>
          <w:rPr>
            <w:rFonts w:eastAsiaTheme="minorEastAsia"/>
          </w:rPr>
          <w:fldChar w:fldCharType="begin"/>
        </w:r>
        <w:r>
          <w:rPr>
            <w:rFonts w:eastAsiaTheme="minorEastAsia"/>
          </w:rPr>
          <w:instrText xml:space="preserve"> PAGEREF _Toc168064806 \h </w:instrText>
        </w:r>
        <w:r>
          <w:rPr>
            <w:rFonts w:eastAsiaTheme="minorEastAsia"/>
          </w:rPr>
        </w:r>
        <w:r>
          <w:rPr>
            <w:rFonts w:eastAsiaTheme="minorEastAsia"/>
          </w:rPr>
          <w:fldChar w:fldCharType="separate"/>
        </w:r>
        <w:r>
          <w:rPr>
            <w:rFonts w:eastAsiaTheme="minorEastAsia"/>
          </w:rPr>
          <w:t>13</w:t>
        </w:r>
        <w:r>
          <w:rPr>
            <w:rFonts w:eastAsiaTheme="minorEastAsia"/>
          </w:rPr>
          <w:fldChar w:fldCharType="end"/>
        </w:r>
      </w:hyperlink>
    </w:p>
    <w:p w:rsidR="00275E65" w:rsidRDefault="00902217">
      <w:pPr>
        <w:pStyle w:val="31"/>
        <w:tabs>
          <w:tab w:val="left" w:pos="1320"/>
          <w:tab w:val="right" w:leader="dot" w:pos="9345"/>
        </w:tabs>
        <w:rPr>
          <w:rFonts w:eastAsiaTheme="minorEastAsia"/>
          <w:lang w:val="uk-UA" w:eastAsia="uk-UA"/>
        </w:rPr>
      </w:pPr>
      <w:hyperlink w:anchor="_Toc168064807" w:tooltip="#_Toc168064807" w:history="1">
        <w:r>
          <w:rPr>
            <w:rStyle w:val="af3"/>
            <w:rFonts w:ascii="Times New Roman" w:eastAsiaTheme="minorEastAsia" w:hAnsi="Times New Roman" w:cs="Times New Roman"/>
          </w:rPr>
          <w:t>3.4.2.</w:t>
        </w:r>
        <w:r>
          <w:rPr>
            <w:rFonts w:eastAsiaTheme="minorEastAsia"/>
            <w:lang w:val="uk-UA" w:eastAsia="uk-UA"/>
          </w:rPr>
          <w:tab/>
        </w:r>
        <w:r>
          <w:rPr>
            <w:rStyle w:val="af3"/>
            <w:rFonts w:ascii="Times New Roman" w:eastAsiaTheme="minorEastAsia" w:hAnsi="Times New Roman" w:cs="Times New Roman"/>
          </w:rPr>
          <w:t>Вартісний баланс</w:t>
        </w:r>
        <w:r>
          <w:rPr>
            <w:rFonts w:eastAsiaTheme="minorEastAsia"/>
          </w:rPr>
          <w:tab/>
        </w:r>
        <w:r>
          <w:rPr>
            <w:rFonts w:eastAsiaTheme="minorEastAsia"/>
          </w:rPr>
          <w:fldChar w:fldCharType="begin"/>
        </w:r>
        <w:r>
          <w:rPr>
            <w:rFonts w:eastAsiaTheme="minorEastAsia"/>
          </w:rPr>
          <w:instrText xml:space="preserve"> PAGEREF _Toc168064807 \h </w:instrText>
        </w:r>
        <w:r>
          <w:rPr>
            <w:rFonts w:eastAsiaTheme="minorEastAsia"/>
          </w:rPr>
        </w:r>
        <w:r>
          <w:rPr>
            <w:rFonts w:eastAsiaTheme="minorEastAsia"/>
          </w:rPr>
          <w:fldChar w:fldCharType="separate"/>
        </w:r>
        <w:r>
          <w:rPr>
            <w:rFonts w:eastAsiaTheme="minorEastAsia"/>
          </w:rPr>
          <w:t>15</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08" w:tooltip="#_Toc168064808" w:history="1">
        <w:r>
          <w:rPr>
            <w:rStyle w:val="af3"/>
            <w:rFonts w:ascii="Times New Roman" w:eastAsiaTheme="minorEastAsia" w:hAnsi="Times New Roman" w:cs="Times New Roman"/>
          </w:rPr>
          <w:t>3.5.</w:t>
        </w:r>
        <w:r>
          <w:rPr>
            <w:rFonts w:eastAsiaTheme="minorEastAsia"/>
            <w:lang w:val="uk-UA" w:eastAsia="uk-UA"/>
          </w:rPr>
          <w:tab/>
        </w:r>
        <w:r>
          <w:rPr>
            <w:rStyle w:val="af3"/>
            <w:rFonts w:ascii="Times New Roman" w:eastAsiaTheme="minorEastAsia" w:hAnsi="Times New Roman" w:cs="Times New Roman"/>
          </w:rPr>
          <w:t>Інвестиційні баланси</w:t>
        </w:r>
        <w:r>
          <w:rPr>
            <w:rFonts w:eastAsiaTheme="minorEastAsia"/>
          </w:rPr>
          <w:tab/>
        </w:r>
        <w:r>
          <w:rPr>
            <w:rFonts w:eastAsiaTheme="minorEastAsia"/>
          </w:rPr>
          <w:fldChar w:fldCharType="begin"/>
        </w:r>
        <w:r>
          <w:rPr>
            <w:rFonts w:eastAsiaTheme="minorEastAsia"/>
          </w:rPr>
          <w:instrText xml:space="preserve"> PAGEREF _Toc168064808 \h </w:instrText>
        </w:r>
        <w:r>
          <w:rPr>
            <w:rFonts w:eastAsiaTheme="minorEastAsia"/>
          </w:rPr>
        </w:r>
        <w:r>
          <w:rPr>
            <w:rFonts w:eastAsiaTheme="minorEastAsia"/>
          </w:rPr>
          <w:fldChar w:fldCharType="separate"/>
        </w:r>
        <w:r>
          <w:rPr>
            <w:rFonts w:eastAsiaTheme="minorEastAsia"/>
          </w:rPr>
          <w:t>24</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09" w:tooltip="#_Toc168064809" w:history="1">
        <w:r>
          <w:rPr>
            <w:rStyle w:val="af3"/>
            <w:rFonts w:ascii="Times New Roman" w:eastAsiaTheme="minorEastAsia" w:hAnsi="Times New Roman" w:cs="Times New Roman"/>
          </w:rPr>
          <w:t>3.6.</w:t>
        </w:r>
        <w:r>
          <w:rPr>
            <w:rFonts w:eastAsiaTheme="minorEastAsia"/>
            <w:lang w:val="uk-UA" w:eastAsia="uk-UA"/>
          </w:rPr>
          <w:tab/>
        </w:r>
        <w:r>
          <w:rPr>
            <w:rStyle w:val="af3"/>
            <w:rFonts w:ascii="Times New Roman" w:eastAsiaTheme="minorEastAsia" w:hAnsi="Times New Roman" w:cs="Times New Roman"/>
          </w:rPr>
          <w:t>Бенчмаркінг об’єктів (систем) на території територіальної громади для одного статистично значимого року – 2022 року Методичні засади</w:t>
        </w:r>
        <w:r>
          <w:rPr>
            <w:rFonts w:eastAsiaTheme="minorEastAsia"/>
          </w:rPr>
          <w:tab/>
        </w:r>
        <w:r>
          <w:rPr>
            <w:rFonts w:eastAsiaTheme="minorEastAsia"/>
          </w:rPr>
          <w:fldChar w:fldCharType="begin"/>
        </w:r>
        <w:r>
          <w:rPr>
            <w:rFonts w:eastAsiaTheme="minorEastAsia"/>
          </w:rPr>
          <w:instrText xml:space="preserve"> PAGEREF _Toc168064809 \h </w:instrText>
        </w:r>
        <w:r>
          <w:rPr>
            <w:rFonts w:eastAsiaTheme="minorEastAsia"/>
          </w:rPr>
        </w:r>
        <w:r>
          <w:rPr>
            <w:rFonts w:eastAsiaTheme="minorEastAsia"/>
          </w:rPr>
          <w:fldChar w:fldCharType="separate"/>
        </w:r>
        <w:r>
          <w:rPr>
            <w:rFonts w:eastAsiaTheme="minorEastAsia"/>
          </w:rPr>
          <w:t>36</w:t>
        </w:r>
        <w:r>
          <w:rPr>
            <w:rFonts w:eastAsiaTheme="minorEastAsia"/>
          </w:rPr>
          <w:fldChar w:fldCharType="end"/>
        </w:r>
      </w:hyperlink>
    </w:p>
    <w:p w:rsidR="00275E65" w:rsidRDefault="00902217">
      <w:pPr>
        <w:pStyle w:val="31"/>
        <w:tabs>
          <w:tab w:val="left" w:pos="1320"/>
          <w:tab w:val="right" w:leader="dot" w:pos="9345"/>
        </w:tabs>
        <w:rPr>
          <w:rFonts w:eastAsiaTheme="minorEastAsia"/>
          <w:lang w:val="uk-UA" w:eastAsia="uk-UA"/>
        </w:rPr>
      </w:pPr>
      <w:hyperlink w:anchor="_Toc168064810" w:tooltip="#_Toc168064810" w:history="1">
        <w:r>
          <w:rPr>
            <w:rStyle w:val="af3"/>
            <w:rFonts w:ascii="Times New Roman" w:eastAsiaTheme="minorEastAsia" w:hAnsi="Times New Roman" w:cs="Times New Roman"/>
          </w:rPr>
          <w:t>3.6.1.</w:t>
        </w:r>
        <w:r>
          <w:rPr>
            <w:rFonts w:eastAsiaTheme="minorEastAsia"/>
            <w:lang w:val="uk-UA" w:eastAsia="uk-UA"/>
          </w:rPr>
          <w:tab/>
        </w:r>
        <w:r>
          <w:rPr>
            <w:rStyle w:val="af3"/>
            <w:rFonts w:ascii="Times New Roman" w:eastAsiaTheme="minorEastAsia" w:hAnsi="Times New Roman" w:cs="Times New Roman"/>
          </w:rPr>
          <w:t>Житлові будівлі</w:t>
        </w:r>
        <w:r>
          <w:rPr>
            <w:rFonts w:eastAsiaTheme="minorEastAsia"/>
          </w:rPr>
          <w:tab/>
        </w:r>
        <w:r>
          <w:rPr>
            <w:rFonts w:eastAsiaTheme="minorEastAsia"/>
          </w:rPr>
          <w:fldChar w:fldCharType="begin"/>
        </w:r>
        <w:r>
          <w:rPr>
            <w:rFonts w:eastAsiaTheme="minorEastAsia"/>
          </w:rPr>
          <w:instrText xml:space="preserve"> PAGEREF _Toc168064810 \h </w:instrText>
        </w:r>
        <w:r>
          <w:rPr>
            <w:rFonts w:eastAsiaTheme="minorEastAsia"/>
          </w:rPr>
        </w:r>
        <w:r>
          <w:rPr>
            <w:rFonts w:eastAsiaTheme="minorEastAsia"/>
          </w:rPr>
          <w:fldChar w:fldCharType="separate"/>
        </w:r>
        <w:r>
          <w:rPr>
            <w:rFonts w:eastAsiaTheme="minorEastAsia"/>
          </w:rPr>
          <w:t>36</w:t>
        </w:r>
        <w:r>
          <w:rPr>
            <w:rFonts w:eastAsiaTheme="minorEastAsia"/>
          </w:rPr>
          <w:fldChar w:fldCharType="end"/>
        </w:r>
      </w:hyperlink>
    </w:p>
    <w:p w:rsidR="00275E65" w:rsidRDefault="00902217">
      <w:pPr>
        <w:pStyle w:val="31"/>
        <w:tabs>
          <w:tab w:val="left" w:pos="1320"/>
          <w:tab w:val="right" w:leader="dot" w:pos="9345"/>
        </w:tabs>
        <w:rPr>
          <w:rFonts w:eastAsiaTheme="minorEastAsia"/>
          <w:lang w:val="uk-UA" w:eastAsia="uk-UA"/>
        </w:rPr>
      </w:pPr>
      <w:hyperlink w:anchor="_Toc168064811" w:tooltip="#_Toc168064811" w:history="1">
        <w:r>
          <w:rPr>
            <w:rStyle w:val="af3"/>
            <w:rFonts w:ascii="Times New Roman" w:eastAsiaTheme="minorEastAsia" w:hAnsi="Times New Roman" w:cs="Times New Roman"/>
          </w:rPr>
          <w:t>3.6.2.</w:t>
        </w:r>
        <w:r>
          <w:rPr>
            <w:rFonts w:eastAsiaTheme="minorEastAsia"/>
            <w:lang w:val="uk-UA" w:eastAsia="uk-UA"/>
          </w:rPr>
          <w:tab/>
        </w:r>
        <w:r>
          <w:rPr>
            <w:rStyle w:val="af3"/>
            <w:rFonts w:ascii="Times New Roman" w:eastAsiaTheme="minorEastAsia" w:hAnsi="Times New Roman" w:cs="Times New Roman"/>
          </w:rPr>
          <w:t>Громадські будівлі</w:t>
        </w:r>
        <w:r>
          <w:rPr>
            <w:rFonts w:eastAsiaTheme="minorEastAsia"/>
          </w:rPr>
          <w:tab/>
        </w:r>
        <w:r>
          <w:rPr>
            <w:rFonts w:eastAsiaTheme="minorEastAsia"/>
          </w:rPr>
          <w:fldChar w:fldCharType="begin"/>
        </w:r>
        <w:r>
          <w:rPr>
            <w:rFonts w:eastAsiaTheme="minorEastAsia"/>
          </w:rPr>
          <w:instrText xml:space="preserve"> PAGEREF _Toc168064811 \h </w:instrText>
        </w:r>
        <w:r>
          <w:rPr>
            <w:rFonts w:eastAsiaTheme="minorEastAsia"/>
          </w:rPr>
        </w:r>
        <w:r>
          <w:rPr>
            <w:rFonts w:eastAsiaTheme="minorEastAsia"/>
          </w:rPr>
          <w:fldChar w:fldCharType="separate"/>
        </w:r>
        <w:r>
          <w:rPr>
            <w:rFonts w:eastAsiaTheme="minorEastAsia"/>
          </w:rPr>
          <w:t>38</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12" w:tooltip="#_Toc168064812" w:history="1">
        <w:r>
          <w:rPr>
            <w:rStyle w:val="af3"/>
            <w:rFonts w:ascii="Times New Roman" w:eastAsiaTheme="minorEastAsia" w:hAnsi="Times New Roman" w:cs="Times New Roman"/>
            <w:lang w:val="ru-RU"/>
          </w:rPr>
          <w:t>3.7.</w:t>
        </w:r>
        <w:r>
          <w:rPr>
            <w:rFonts w:eastAsiaTheme="minorEastAsia"/>
            <w:lang w:val="uk-UA" w:eastAsia="uk-UA"/>
          </w:rPr>
          <w:tab/>
        </w:r>
        <w:r>
          <w:rPr>
            <w:rStyle w:val="af3"/>
            <w:rFonts w:ascii="Times New Roman" w:eastAsiaTheme="minorEastAsia" w:hAnsi="Times New Roman" w:cs="Times New Roman"/>
          </w:rPr>
          <w:t>SWOT-аналізу (оцінки сильних сторін, слабких сторін, можливостей і загроз) енергетичного розвитку територіальної громади та аналізу о</w:t>
        </w:r>
        <w:r>
          <w:rPr>
            <w:rStyle w:val="af3"/>
            <w:rFonts w:ascii="Times New Roman" w:eastAsiaTheme="minorEastAsia" w:hAnsi="Times New Roman" w:cs="Times New Roman"/>
          </w:rPr>
          <w:t>бмежень для сталого енергетичного розвитку територіальної громади</w:t>
        </w:r>
        <w:r>
          <w:rPr>
            <w:rFonts w:eastAsiaTheme="minorEastAsia"/>
          </w:rPr>
          <w:tab/>
        </w:r>
        <w:r>
          <w:rPr>
            <w:rFonts w:eastAsiaTheme="minorEastAsia"/>
          </w:rPr>
          <w:fldChar w:fldCharType="begin"/>
        </w:r>
        <w:r>
          <w:rPr>
            <w:rFonts w:eastAsiaTheme="minorEastAsia"/>
          </w:rPr>
          <w:instrText xml:space="preserve"> PAGEREF _Toc168064812 \h </w:instrText>
        </w:r>
        <w:r>
          <w:rPr>
            <w:rFonts w:eastAsiaTheme="minorEastAsia"/>
          </w:rPr>
        </w:r>
        <w:r>
          <w:rPr>
            <w:rFonts w:eastAsiaTheme="minorEastAsia"/>
          </w:rPr>
          <w:fldChar w:fldCharType="separate"/>
        </w:r>
        <w:r>
          <w:rPr>
            <w:rFonts w:eastAsiaTheme="minorEastAsia"/>
          </w:rPr>
          <w:t>44</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13" w:tooltip="#_Toc168064813" w:history="1">
        <w:r>
          <w:rPr>
            <w:rStyle w:val="af3"/>
            <w:rFonts w:ascii="Times New Roman" w:eastAsiaTheme="minorEastAsia" w:hAnsi="Times New Roman" w:cs="Times New Roman"/>
          </w:rPr>
          <w:t>3.8.</w:t>
        </w:r>
        <w:r>
          <w:rPr>
            <w:rFonts w:eastAsiaTheme="minorEastAsia"/>
            <w:lang w:val="uk-UA" w:eastAsia="uk-UA"/>
          </w:rPr>
          <w:tab/>
        </w:r>
        <w:r>
          <w:rPr>
            <w:rStyle w:val="af3"/>
            <w:rFonts w:ascii="Times New Roman" w:eastAsiaTheme="minorEastAsia" w:hAnsi="Times New Roman" w:cs="Times New Roman"/>
          </w:rPr>
          <w:t>Аналіз впливу органу місцевого само</w:t>
        </w:r>
        <w:r>
          <w:rPr>
            <w:rStyle w:val="af3"/>
            <w:rFonts w:ascii="Times New Roman" w:eastAsiaTheme="minorEastAsia" w:hAnsi="Times New Roman" w:cs="Times New Roman"/>
          </w:rPr>
          <w:t>врядування на сектори планування МЕП</w:t>
        </w:r>
        <w:r>
          <w:rPr>
            <w:rFonts w:eastAsiaTheme="minorEastAsia"/>
          </w:rPr>
          <w:tab/>
        </w:r>
        <w:r>
          <w:rPr>
            <w:rFonts w:eastAsiaTheme="minorEastAsia"/>
          </w:rPr>
          <w:fldChar w:fldCharType="begin"/>
        </w:r>
        <w:r>
          <w:rPr>
            <w:rFonts w:eastAsiaTheme="minorEastAsia"/>
          </w:rPr>
          <w:instrText xml:space="preserve"> PAGEREF _Toc168064813 \h </w:instrText>
        </w:r>
        <w:r>
          <w:rPr>
            <w:rFonts w:eastAsiaTheme="minorEastAsia"/>
          </w:rPr>
        </w:r>
        <w:r>
          <w:rPr>
            <w:rFonts w:eastAsiaTheme="minorEastAsia"/>
          </w:rPr>
          <w:fldChar w:fldCharType="separate"/>
        </w:r>
        <w:r>
          <w:rPr>
            <w:rFonts w:eastAsiaTheme="minorEastAsia"/>
          </w:rPr>
          <w:t>46</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14" w:tooltip="#_Toc168064814" w:history="1">
        <w:r>
          <w:rPr>
            <w:rStyle w:val="af3"/>
            <w:rFonts w:ascii="Times New Roman" w:eastAsiaTheme="minorEastAsia" w:hAnsi="Times New Roman" w:cs="Times New Roman"/>
            <w:lang w:val="ru-RU"/>
          </w:rPr>
          <w:t>3.9.</w:t>
        </w:r>
        <w:r>
          <w:rPr>
            <w:rFonts w:eastAsiaTheme="minorEastAsia"/>
            <w:lang w:val="uk-UA" w:eastAsia="uk-UA"/>
          </w:rPr>
          <w:tab/>
        </w:r>
        <w:r>
          <w:rPr>
            <w:rStyle w:val="af3"/>
            <w:rFonts w:ascii="Times New Roman" w:eastAsiaTheme="minorEastAsia" w:hAnsi="Times New Roman" w:cs="Times New Roman"/>
          </w:rPr>
          <w:t>Аналізу завершених, поточних і запланованих місцевих програм, інв</w:t>
        </w:r>
        <w:r>
          <w:rPr>
            <w:rStyle w:val="af3"/>
            <w:rFonts w:ascii="Times New Roman" w:eastAsiaTheme="minorEastAsia" w:hAnsi="Times New Roman" w:cs="Times New Roman"/>
          </w:rPr>
          <w:t>естиційних програм комунальних підприємств та інших програм і проєктів (у тому числі за участі міжнародних фінансових організацій)</w:t>
        </w:r>
        <w:r>
          <w:rPr>
            <w:rFonts w:eastAsiaTheme="minorEastAsia"/>
          </w:rPr>
          <w:tab/>
        </w:r>
        <w:r>
          <w:rPr>
            <w:rFonts w:eastAsiaTheme="minorEastAsia"/>
          </w:rPr>
          <w:fldChar w:fldCharType="begin"/>
        </w:r>
        <w:r>
          <w:rPr>
            <w:rFonts w:eastAsiaTheme="minorEastAsia"/>
          </w:rPr>
          <w:instrText xml:space="preserve"> PAGEREF _Toc168064814 \h </w:instrText>
        </w:r>
        <w:r>
          <w:rPr>
            <w:rFonts w:eastAsiaTheme="minorEastAsia"/>
          </w:rPr>
        </w:r>
        <w:r>
          <w:rPr>
            <w:rFonts w:eastAsiaTheme="minorEastAsia"/>
          </w:rPr>
          <w:fldChar w:fldCharType="separate"/>
        </w:r>
        <w:r>
          <w:rPr>
            <w:rFonts w:eastAsiaTheme="minorEastAsia"/>
          </w:rPr>
          <w:t>48</w:t>
        </w:r>
        <w:r>
          <w:rPr>
            <w:rFonts w:eastAsiaTheme="minorEastAsia"/>
          </w:rPr>
          <w:fldChar w:fldCharType="end"/>
        </w:r>
      </w:hyperlink>
    </w:p>
    <w:p w:rsidR="00275E65" w:rsidRDefault="00902217">
      <w:pPr>
        <w:pStyle w:val="11"/>
        <w:tabs>
          <w:tab w:val="left" w:pos="440"/>
          <w:tab w:val="right" w:leader="dot" w:pos="9345"/>
        </w:tabs>
        <w:rPr>
          <w:rFonts w:eastAsiaTheme="minorEastAsia"/>
          <w:lang w:val="uk-UA" w:eastAsia="uk-UA"/>
        </w:rPr>
      </w:pPr>
      <w:hyperlink w:anchor="_Toc168064815" w:tooltip="#_Toc168064815" w:history="1">
        <w:r>
          <w:rPr>
            <w:rStyle w:val="af3"/>
            <w:rFonts w:ascii="Times New Roman" w:eastAsiaTheme="minorEastAsia" w:hAnsi="Times New Roman" w:cs="Times New Roman"/>
          </w:rPr>
          <w:t>4.</w:t>
        </w:r>
        <w:r>
          <w:rPr>
            <w:rFonts w:eastAsiaTheme="minorEastAsia"/>
            <w:lang w:val="uk-UA" w:eastAsia="uk-UA"/>
          </w:rPr>
          <w:tab/>
        </w:r>
        <w:r>
          <w:rPr>
            <w:rStyle w:val="af3"/>
            <w:rFonts w:ascii="Times New Roman" w:eastAsiaTheme="minorEastAsia" w:hAnsi="Times New Roman" w:cs="Times New Roman"/>
          </w:rPr>
          <w:t>Цілі сталого енергетичного розвитку громади відносно базового року</w:t>
        </w:r>
        <w:r>
          <w:rPr>
            <w:rFonts w:eastAsiaTheme="minorEastAsia"/>
          </w:rPr>
          <w:tab/>
        </w:r>
        <w:r>
          <w:rPr>
            <w:rFonts w:eastAsiaTheme="minorEastAsia"/>
          </w:rPr>
          <w:fldChar w:fldCharType="begin"/>
        </w:r>
        <w:r>
          <w:rPr>
            <w:rFonts w:eastAsiaTheme="minorEastAsia"/>
          </w:rPr>
          <w:instrText xml:space="preserve"> PAGEREF _Toc168064815 \h </w:instrText>
        </w:r>
        <w:r>
          <w:rPr>
            <w:rFonts w:eastAsiaTheme="minorEastAsia"/>
          </w:rPr>
        </w:r>
        <w:r>
          <w:rPr>
            <w:rFonts w:eastAsiaTheme="minorEastAsia"/>
          </w:rPr>
          <w:fldChar w:fldCharType="separate"/>
        </w:r>
        <w:r>
          <w:rPr>
            <w:rFonts w:eastAsiaTheme="minorEastAsia"/>
          </w:rPr>
          <w:t>49</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16" w:tooltip="#_Toc168064816" w:history="1">
        <w:r>
          <w:rPr>
            <w:rStyle w:val="af3"/>
            <w:rFonts w:ascii="Times New Roman" w:eastAsiaTheme="minorEastAsia" w:hAnsi="Times New Roman" w:cs="Times New Roman"/>
          </w:rPr>
          <w:t>4.1.</w:t>
        </w:r>
        <w:r>
          <w:rPr>
            <w:rFonts w:eastAsiaTheme="minorEastAsia"/>
            <w:lang w:val="uk-UA" w:eastAsia="uk-UA"/>
          </w:rPr>
          <w:tab/>
        </w:r>
        <w:r>
          <w:rPr>
            <w:rStyle w:val="af3"/>
            <w:rFonts w:ascii="Times New Roman" w:eastAsiaTheme="minorEastAsia" w:hAnsi="Times New Roman" w:cs="Times New Roman"/>
          </w:rPr>
          <w:t>Цілі сталого енергетичного розвитку</w:t>
        </w:r>
        <w:r>
          <w:rPr>
            <w:rFonts w:eastAsiaTheme="minorEastAsia"/>
          </w:rPr>
          <w:tab/>
        </w:r>
        <w:r>
          <w:rPr>
            <w:rFonts w:eastAsiaTheme="minorEastAsia"/>
          </w:rPr>
          <w:fldChar w:fldCharType="begin"/>
        </w:r>
        <w:r>
          <w:rPr>
            <w:rFonts w:eastAsiaTheme="minorEastAsia"/>
          </w:rPr>
          <w:instrText xml:space="preserve"> PAGEREF _Toc168064816 \h </w:instrText>
        </w:r>
        <w:r>
          <w:rPr>
            <w:rFonts w:eastAsiaTheme="minorEastAsia"/>
          </w:rPr>
        </w:r>
        <w:r>
          <w:rPr>
            <w:rFonts w:eastAsiaTheme="minorEastAsia"/>
          </w:rPr>
          <w:fldChar w:fldCharType="separate"/>
        </w:r>
        <w:r>
          <w:rPr>
            <w:rFonts w:eastAsiaTheme="minorEastAsia"/>
          </w:rPr>
          <w:t>53</w:t>
        </w:r>
        <w:r>
          <w:rPr>
            <w:rFonts w:eastAsiaTheme="minorEastAsia"/>
          </w:rPr>
          <w:fldChar w:fldCharType="end"/>
        </w:r>
      </w:hyperlink>
    </w:p>
    <w:p w:rsidR="00275E65" w:rsidRDefault="00902217">
      <w:pPr>
        <w:pStyle w:val="11"/>
        <w:tabs>
          <w:tab w:val="left" w:pos="440"/>
          <w:tab w:val="right" w:leader="dot" w:pos="9345"/>
        </w:tabs>
        <w:rPr>
          <w:rFonts w:eastAsiaTheme="minorEastAsia"/>
          <w:lang w:val="uk-UA" w:eastAsia="uk-UA"/>
        </w:rPr>
      </w:pPr>
      <w:hyperlink w:anchor="_Toc168064817" w:tooltip="#_Toc168064817" w:history="1">
        <w:r>
          <w:rPr>
            <w:rStyle w:val="af3"/>
            <w:rFonts w:ascii="Times New Roman" w:eastAsiaTheme="minorEastAsia" w:hAnsi="Times New Roman" w:cs="Times New Roman"/>
            <w:lang w:val="ru-RU"/>
          </w:rPr>
          <w:t>5.</w:t>
        </w:r>
        <w:r>
          <w:rPr>
            <w:rFonts w:eastAsiaTheme="minorEastAsia"/>
            <w:lang w:val="uk-UA" w:eastAsia="uk-UA"/>
          </w:rPr>
          <w:tab/>
        </w:r>
        <w:r>
          <w:rPr>
            <w:rStyle w:val="af3"/>
            <w:rFonts w:ascii="Times New Roman" w:eastAsiaTheme="minorEastAsia" w:hAnsi="Times New Roman" w:cs="Times New Roman"/>
          </w:rPr>
          <w:t>Проєкти  сталого енергетичного розвитку ТГ</w:t>
        </w:r>
        <w:r>
          <w:rPr>
            <w:rFonts w:eastAsiaTheme="minorEastAsia"/>
          </w:rPr>
          <w:tab/>
        </w:r>
        <w:r>
          <w:rPr>
            <w:rFonts w:eastAsiaTheme="minorEastAsia"/>
          </w:rPr>
          <w:fldChar w:fldCharType="begin"/>
        </w:r>
        <w:r>
          <w:rPr>
            <w:rFonts w:eastAsiaTheme="minorEastAsia"/>
          </w:rPr>
          <w:instrText xml:space="preserve"> PAGER</w:instrText>
        </w:r>
        <w:r>
          <w:rPr>
            <w:rFonts w:eastAsiaTheme="minorEastAsia"/>
          </w:rPr>
          <w:instrText xml:space="preserve">EF _Toc168064817 \h </w:instrText>
        </w:r>
        <w:r>
          <w:rPr>
            <w:rFonts w:eastAsiaTheme="minorEastAsia"/>
          </w:rPr>
        </w:r>
        <w:r>
          <w:rPr>
            <w:rFonts w:eastAsiaTheme="minorEastAsia"/>
          </w:rPr>
          <w:fldChar w:fldCharType="separate"/>
        </w:r>
        <w:r>
          <w:rPr>
            <w:rFonts w:eastAsiaTheme="minorEastAsia"/>
          </w:rPr>
          <w:t>59</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18" w:tooltip="#_Toc168064818" w:history="1">
        <w:r>
          <w:rPr>
            <w:rStyle w:val="af3"/>
            <w:rFonts w:ascii="Times New Roman" w:eastAsiaTheme="minorEastAsia" w:hAnsi="Times New Roman" w:cs="Times New Roman"/>
            <w:lang w:val="ru-RU"/>
          </w:rPr>
          <w:t>5.1.</w:t>
        </w:r>
        <w:r>
          <w:rPr>
            <w:rFonts w:eastAsiaTheme="minorEastAsia"/>
            <w:lang w:val="uk-UA" w:eastAsia="uk-UA"/>
          </w:rPr>
          <w:tab/>
        </w:r>
        <w:r>
          <w:rPr>
            <w:rStyle w:val="af3"/>
            <w:rFonts w:ascii="Times New Roman" w:eastAsiaTheme="minorEastAsia" w:hAnsi="Times New Roman" w:cs="Times New Roman"/>
          </w:rPr>
          <w:t>Обмеження та передумови розробки проєктів</w:t>
        </w:r>
        <w:r>
          <w:rPr>
            <w:rFonts w:eastAsiaTheme="minorEastAsia"/>
          </w:rPr>
          <w:tab/>
        </w:r>
        <w:r>
          <w:rPr>
            <w:rFonts w:eastAsiaTheme="minorEastAsia"/>
          </w:rPr>
          <w:fldChar w:fldCharType="begin"/>
        </w:r>
        <w:r>
          <w:rPr>
            <w:rFonts w:eastAsiaTheme="minorEastAsia"/>
          </w:rPr>
          <w:instrText xml:space="preserve"> PAGEREF _Toc168064818 \h </w:instrText>
        </w:r>
        <w:r>
          <w:rPr>
            <w:rFonts w:eastAsiaTheme="minorEastAsia"/>
          </w:rPr>
        </w:r>
        <w:r>
          <w:rPr>
            <w:rFonts w:eastAsiaTheme="minorEastAsia"/>
          </w:rPr>
          <w:fldChar w:fldCharType="separate"/>
        </w:r>
        <w:r>
          <w:rPr>
            <w:rFonts w:eastAsiaTheme="minorEastAsia"/>
          </w:rPr>
          <w:t>59</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19" w:tooltip="#_Toc168064819" w:history="1">
        <w:r>
          <w:rPr>
            <w:rStyle w:val="af3"/>
            <w:rFonts w:ascii="Times New Roman" w:eastAsiaTheme="minorEastAsia" w:hAnsi="Times New Roman" w:cs="Times New Roman"/>
          </w:rPr>
          <w:t>5.2.</w:t>
        </w:r>
        <w:r>
          <w:rPr>
            <w:rFonts w:eastAsiaTheme="minorEastAsia"/>
            <w:lang w:val="uk-UA" w:eastAsia="uk-UA"/>
          </w:rPr>
          <w:tab/>
        </w:r>
        <w:r>
          <w:rPr>
            <w:rStyle w:val="af3"/>
            <w:rFonts w:ascii="Times New Roman" w:eastAsiaTheme="minorEastAsia" w:hAnsi="Times New Roman" w:cs="Times New Roman"/>
          </w:rPr>
          <w:t>Проєкти для  досягнення цілей</w:t>
        </w:r>
        <w:r>
          <w:rPr>
            <w:rFonts w:eastAsiaTheme="minorEastAsia"/>
          </w:rPr>
          <w:tab/>
        </w:r>
        <w:r>
          <w:rPr>
            <w:rFonts w:eastAsiaTheme="minorEastAsia"/>
          </w:rPr>
          <w:fldChar w:fldCharType="begin"/>
        </w:r>
        <w:r>
          <w:rPr>
            <w:rFonts w:eastAsiaTheme="minorEastAsia"/>
          </w:rPr>
          <w:instrText xml:space="preserve"> PAGEREF _Toc168064819 \h </w:instrText>
        </w:r>
        <w:r>
          <w:rPr>
            <w:rFonts w:eastAsiaTheme="minorEastAsia"/>
          </w:rPr>
        </w:r>
        <w:r>
          <w:rPr>
            <w:rFonts w:eastAsiaTheme="minorEastAsia"/>
          </w:rPr>
          <w:fldChar w:fldCharType="separate"/>
        </w:r>
        <w:r>
          <w:rPr>
            <w:rFonts w:eastAsiaTheme="minorEastAsia"/>
          </w:rPr>
          <w:t>60</w:t>
        </w:r>
        <w:r>
          <w:rPr>
            <w:rFonts w:eastAsiaTheme="minorEastAsia"/>
          </w:rPr>
          <w:fldChar w:fldCharType="end"/>
        </w:r>
      </w:hyperlink>
    </w:p>
    <w:p w:rsidR="00275E65" w:rsidRDefault="00902217">
      <w:pPr>
        <w:pStyle w:val="11"/>
        <w:tabs>
          <w:tab w:val="left" w:pos="440"/>
          <w:tab w:val="right" w:leader="dot" w:pos="9345"/>
        </w:tabs>
        <w:rPr>
          <w:rFonts w:eastAsiaTheme="minorEastAsia"/>
          <w:lang w:val="uk-UA" w:eastAsia="uk-UA"/>
        </w:rPr>
      </w:pPr>
      <w:hyperlink w:anchor="_Toc168064820" w:tooltip="#_Toc168064820" w:history="1">
        <w:r>
          <w:rPr>
            <w:rStyle w:val="af3"/>
            <w:rFonts w:ascii="Times New Roman" w:eastAsiaTheme="minorEastAsia" w:hAnsi="Times New Roman" w:cs="Times New Roman"/>
          </w:rPr>
          <w:t>6.</w:t>
        </w:r>
        <w:r>
          <w:rPr>
            <w:rFonts w:eastAsiaTheme="minorEastAsia"/>
            <w:lang w:val="uk-UA" w:eastAsia="uk-UA"/>
          </w:rPr>
          <w:tab/>
        </w:r>
        <w:r>
          <w:rPr>
            <w:rStyle w:val="af3"/>
            <w:rFonts w:ascii="Times New Roman" w:eastAsiaTheme="minorEastAsia" w:hAnsi="Times New Roman" w:cs="Times New Roman"/>
          </w:rPr>
          <w:t>Організація виконання та фінансування МЕП</w:t>
        </w:r>
        <w:r>
          <w:rPr>
            <w:rFonts w:eastAsiaTheme="minorEastAsia"/>
          </w:rPr>
          <w:tab/>
        </w:r>
        <w:r>
          <w:rPr>
            <w:rFonts w:eastAsiaTheme="minorEastAsia"/>
          </w:rPr>
          <w:fldChar w:fldCharType="begin"/>
        </w:r>
        <w:r>
          <w:rPr>
            <w:rFonts w:eastAsiaTheme="minorEastAsia"/>
          </w:rPr>
          <w:instrText xml:space="preserve"> PAGEREF _Toc168064820 \h </w:instrText>
        </w:r>
        <w:r>
          <w:rPr>
            <w:rFonts w:eastAsiaTheme="minorEastAsia"/>
          </w:rPr>
        </w:r>
        <w:r>
          <w:rPr>
            <w:rFonts w:eastAsiaTheme="minorEastAsia"/>
          </w:rPr>
          <w:fldChar w:fldCharType="separate"/>
        </w:r>
        <w:r>
          <w:rPr>
            <w:rFonts w:eastAsiaTheme="minorEastAsia"/>
          </w:rPr>
          <w:t>62</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21" w:tooltip="#_Toc168064821" w:history="1">
        <w:r>
          <w:rPr>
            <w:rStyle w:val="af3"/>
            <w:rFonts w:ascii="Times New Roman" w:eastAsiaTheme="minorEastAsia" w:hAnsi="Times New Roman" w:cs="Times New Roman"/>
          </w:rPr>
          <w:t>6.1.</w:t>
        </w:r>
        <w:r>
          <w:rPr>
            <w:rFonts w:eastAsiaTheme="minorEastAsia"/>
            <w:lang w:val="uk-UA" w:eastAsia="uk-UA"/>
          </w:rPr>
          <w:tab/>
        </w:r>
        <w:r>
          <w:rPr>
            <w:rStyle w:val="af3"/>
            <w:rFonts w:ascii="Times New Roman" w:eastAsiaTheme="minorEastAsia" w:hAnsi="Times New Roman" w:cs="Times New Roman"/>
          </w:rPr>
          <w:t>Перелік установ, підприємств, організацій (у тому числі міжнародних фінансових організацій, партнерів, інвесторів), що планується зал</w:t>
        </w:r>
        <w:r>
          <w:rPr>
            <w:rStyle w:val="af3"/>
            <w:rFonts w:ascii="Times New Roman" w:eastAsiaTheme="minorEastAsia" w:hAnsi="Times New Roman" w:cs="Times New Roman"/>
          </w:rPr>
          <w:t>учити до виконання муніципального енергетичного плану</w:t>
        </w:r>
        <w:r>
          <w:rPr>
            <w:rFonts w:eastAsiaTheme="minorEastAsia"/>
          </w:rPr>
          <w:tab/>
        </w:r>
        <w:r>
          <w:rPr>
            <w:rFonts w:eastAsiaTheme="minorEastAsia"/>
          </w:rPr>
          <w:fldChar w:fldCharType="begin"/>
        </w:r>
        <w:r>
          <w:rPr>
            <w:rFonts w:eastAsiaTheme="minorEastAsia"/>
          </w:rPr>
          <w:instrText xml:space="preserve"> PAGEREF _Toc168064821 \h </w:instrText>
        </w:r>
        <w:r>
          <w:rPr>
            <w:rFonts w:eastAsiaTheme="minorEastAsia"/>
          </w:rPr>
        </w:r>
        <w:r>
          <w:rPr>
            <w:rFonts w:eastAsiaTheme="minorEastAsia"/>
          </w:rPr>
          <w:fldChar w:fldCharType="separate"/>
        </w:r>
        <w:r>
          <w:rPr>
            <w:rFonts w:eastAsiaTheme="minorEastAsia"/>
          </w:rPr>
          <w:t>62</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22" w:tooltip="#_Toc168064822" w:history="1">
        <w:r>
          <w:rPr>
            <w:rStyle w:val="af3"/>
            <w:rFonts w:ascii="Times New Roman" w:eastAsiaTheme="minorEastAsia" w:hAnsi="Times New Roman" w:cs="Times New Roman"/>
          </w:rPr>
          <w:t>6.2.</w:t>
        </w:r>
        <w:r>
          <w:rPr>
            <w:rFonts w:eastAsiaTheme="minorEastAsia"/>
            <w:lang w:val="uk-UA" w:eastAsia="uk-UA"/>
          </w:rPr>
          <w:tab/>
        </w:r>
        <w:r>
          <w:rPr>
            <w:rStyle w:val="af3"/>
            <w:rFonts w:ascii="Times New Roman" w:eastAsiaTheme="minorEastAsia" w:hAnsi="Times New Roman" w:cs="Times New Roman"/>
          </w:rPr>
          <w:t>Потреби у фінансових ресурсах для виконання мун</w:t>
        </w:r>
        <w:r>
          <w:rPr>
            <w:rStyle w:val="af3"/>
            <w:rFonts w:ascii="Times New Roman" w:eastAsiaTheme="minorEastAsia" w:hAnsi="Times New Roman" w:cs="Times New Roman"/>
          </w:rPr>
          <w:t>іципального енергетичного плану та реалізації проєктів сталого енергетичного розвитку</w:t>
        </w:r>
        <w:r>
          <w:rPr>
            <w:rFonts w:eastAsiaTheme="minorEastAsia"/>
          </w:rPr>
          <w:tab/>
        </w:r>
        <w:r>
          <w:rPr>
            <w:rFonts w:eastAsiaTheme="minorEastAsia"/>
          </w:rPr>
          <w:fldChar w:fldCharType="begin"/>
        </w:r>
        <w:r>
          <w:rPr>
            <w:rFonts w:eastAsiaTheme="minorEastAsia"/>
          </w:rPr>
          <w:instrText xml:space="preserve"> PAGEREF _Toc168064822 \h </w:instrText>
        </w:r>
        <w:r>
          <w:rPr>
            <w:rFonts w:eastAsiaTheme="minorEastAsia"/>
          </w:rPr>
        </w:r>
        <w:r>
          <w:rPr>
            <w:rFonts w:eastAsiaTheme="minorEastAsia"/>
          </w:rPr>
          <w:fldChar w:fldCharType="separate"/>
        </w:r>
        <w:r>
          <w:rPr>
            <w:rFonts w:eastAsiaTheme="minorEastAsia"/>
          </w:rPr>
          <w:t>63</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23" w:tooltip="#_Toc168064823" w:history="1">
        <w:r>
          <w:rPr>
            <w:rStyle w:val="af3"/>
            <w:rFonts w:ascii="Times New Roman" w:eastAsiaTheme="minorEastAsia" w:hAnsi="Times New Roman" w:cs="Times New Roman"/>
            <w:lang w:val="ru-RU"/>
          </w:rPr>
          <w:t>6.3.</w:t>
        </w:r>
        <w:r>
          <w:rPr>
            <w:rFonts w:eastAsiaTheme="minorEastAsia"/>
            <w:lang w:val="uk-UA" w:eastAsia="uk-UA"/>
          </w:rPr>
          <w:tab/>
        </w:r>
        <w:r>
          <w:rPr>
            <w:rStyle w:val="af3"/>
            <w:rFonts w:ascii="Times New Roman" w:eastAsiaTheme="minorEastAsia" w:hAnsi="Times New Roman" w:cs="Times New Roman"/>
          </w:rPr>
          <w:t>Джерела фінансу</w:t>
        </w:r>
        <w:r>
          <w:rPr>
            <w:rStyle w:val="af3"/>
            <w:rFonts w:ascii="Times New Roman" w:eastAsiaTheme="minorEastAsia" w:hAnsi="Times New Roman" w:cs="Times New Roman"/>
          </w:rPr>
          <w:t>вання муніципального енергетичного плану та проєктів сталого енергетичного розвитку</w:t>
        </w:r>
        <w:r>
          <w:rPr>
            <w:rFonts w:eastAsiaTheme="minorEastAsia"/>
          </w:rPr>
          <w:tab/>
        </w:r>
        <w:r>
          <w:rPr>
            <w:rFonts w:eastAsiaTheme="minorEastAsia"/>
          </w:rPr>
          <w:fldChar w:fldCharType="begin"/>
        </w:r>
        <w:r>
          <w:rPr>
            <w:rFonts w:eastAsiaTheme="minorEastAsia"/>
          </w:rPr>
          <w:instrText xml:space="preserve"> PAGEREF _Toc168064823 \h </w:instrText>
        </w:r>
        <w:r>
          <w:rPr>
            <w:rFonts w:eastAsiaTheme="minorEastAsia"/>
          </w:rPr>
        </w:r>
        <w:r>
          <w:rPr>
            <w:rFonts w:eastAsiaTheme="minorEastAsia"/>
          </w:rPr>
          <w:fldChar w:fldCharType="separate"/>
        </w:r>
        <w:r>
          <w:rPr>
            <w:rFonts w:eastAsiaTheme="minorEastAsia"/>
          </w:rPr>
          <w:t>64</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24" w:tooltip="#_Toc168064824" w:history="1">
        <w:r>
          <w:rPr>
            <w:rStyle w:val="af3"/>
            <w:rFonts w:ascii="Times New Roman" w:eastAsiaTheme="minorEastAsia" w:hAnsi="Times New Roman" w:cs="Times New Roman"/>
            <w:lang w:val="ru-RU"/>
          </w:rPr>
          <w:t>6.4.</w:t>
        </w:r>
        <w:r>
          <w:rPr>
            <w:rFonts w:eastAsiaTheme="minorEastAsia"/>
            <w:lang w:val="uk-UA" w:eastAsia="uk-UA"/>
          </w:rPr>
          <w:tab/>
        </w:r>
        <w:r>
          <w:rPr>
            <w:rStyle w:val="af3"/>
            <w:rFonts w:ascii="Times New Roman" w:eastAsiaTheme="minorEastAsia" w:hAnsi="Times New Roman" w:cs="Times New Roman"/>
          </w:rPr>
          <w:t>Орієнтовний кален</w:t>
        </w:r>
        <w:r>
          <w:rPr>
            <w:rStyle w:val="af3"/>
            <w:rFonts w:ascii="Times New Roman" w:eastAsiaTheme="minorEastAsia" w:hAnsi="Times New Roman" w:cs="Times New Roman"/>
          </w:rPr>
          <w:t>дарний план реалізації проєктів сталого енергетичного розвитку на період енергетичного плану із зазначенням кількісних показників по роках;</w:t>
        </w:r>
        <w:r>
          <w:rPr>
            <w:rFonts w:eastAsiaTheme="minorEastAsia"/>
          </w:rPr>
          <w:tab/>
        </w:r>
        <w:r>
          <w:rPr>
            <w:rFonts w:eastAsiaTheme="minorEastAsia"/>
          </w:rPr>
          <w:fldChar w:fldCharType="begin"/>
        </w:r>
        <w:r>
          <w:rPr>
            <w:rFonts w:eastAsiaTheme="minorEastAsia"/>
          </w:rPr>
          <w:instrText xml:space="preserve"> PAGEREF _Toc168064824 \h </w:instrText>
        </w:r>
        <w:r>
          <w:rPr>
            <w:rFonts w:eastAsiaTheme="minorEastAsia"/>
          </w:rPr>
        </w:r>
        <w:r>
          <w:rPr>
            <w:rFonts w:eastAsiaTheme="minorEastAsia"/>
          </w:rPr>
          <w:fldChar w:fldCharType="separate"/>
        </w:r>
        <w:r>
          <w:rPr>
            <w:rFonts w:eastAsiaTheme="minorEastAsia"/>
          </w:rPr>
          <w:t>65</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25" w:tooltip="#_Toc168064825" w:history="1">
        <w:r>
          <w:rPr>
            <w:rStyle w:val="af3"/>
            <w:rFonts w:ascii="Times New Roman" w:eastAsiaTheme="minorEastAsia" w:hAnsi="Times New Roman" w:cs="Times New Roman"/>
          </w:rPr>
          <w:t>6.5.</w:t>
        </w:r>
        <w:r>
          <w:rPr>
            <w:rFonts w:eastAsiaTheme="minorEastAsia"/>
            <w:lang w:val="uk-UA" w:eastAsia="uk-UA"/>
          </w:rPr>
          <w:tab/>
        </w:r>
        <w:r>
          <w:rPr>
            <w:rStyle w:val="af3"/>
            <w:rFonts w:ascii="Times New Roman" w:eastAsiaTheme="minorEastAsia" w:hAnsi="Times New Roman" w:cs="Times New Roman"/>
          </w:rPr>
          <w:t>Основні потенційні внутрішні і зовнішні ризики при виконанні муніципального енергетичного плану та реалізації проєктів сталого енергетичного розвитку, та можливих дій щодо зниження визначених ризиків;</w:t>
        </w:r>
        <w:r>
          <w:rPr>
            <w:rFonts w:eastAsiaTheme="minorEastAsia"/>
          </w:rPr>
          <w:tab/>
        </w:r>
        <w:r>
          <w:rPr>
            <w:rFonts w:eastAsiaTheme="minorEastAsia"/>
          </w:rPr>
          <w:fldChar w:fldCharType="begin"/>
        </w:r>
        <w:r>
          <w:rPr>
            <w:rFonts w:eastAsiaTheme="minorEastAsia"/>
          </w:rPr>
          <w:instrText xml:space="preserve"> PAGEREF _Toc168</w:instrText>
        </w:r>
        <w:r>
          <w:rPr>
            <w:rFonts w:eastAsiaTheme="minorEastAsia"/>
          </w:rPr>
          <w:instrText xml:space="preserve">064825 \h </w:instrText>
        </w:r>
        <w:r>
          <w:rPr>
            <w:rFonts w:eastAsiaTheme="minorEastAsia"/>
          </w:rPr>
        </w:r>
        <w:r>
          <w:rPr>
            <w:rFonts w:eastAsiaTheme="minorEastAsia"/>
          </w:rPr>
          <w:fldChar w:fldCharType="separate"/>
        </w:r>
        <w:r>
          <w:rPr>
            <w:rFonts w:eastAsiaTheme="minorEastAsia"/>
          </w:rPr>
          <w:t>66</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26" w:tooltip="#_Toc168064826" w:history="1">
        <w:r>
          <w:rPr>
            <w:rStyle w:val="af3"/>
            <w:rFonts w:ascii="Times New Roman" w:eastAsiaTheme="minorEastAsia" w:hAnsi="Times New Roman" w:cs="Times New Roman"/>
            <w:lang w:val="ru-RU"/>
          </w:rPr>
          <w:t>6.6.</w:t>
        </w:r>
        <w:r>
          <w:rPr>
            <w:rFonts w:eastAsiaTheme="minorEastAsia"/>
            <w:lang w:val="uk-UA" w:eastAsia="uk-UA"/>
          </w:rPr>
          <w:tab/>
        </w:r>
        <w:r>
          <w:rPr>
            <w:rStyle w:val="af3"/>
            <w:rFonts w:ascii="Times New Roman" w:eastAsiaTheme="minorEastAsia" w:hAnsi="Times New Roman" w:cs="Times New Roman"/>
          </w:rPr>
          <w:t>Організація моніторингу, аналізу та оцінки ефективності муніципального енергетичного плану в цілому та проєктів сталого енергетичного розвитку.</w:t>
        </w:r>
        <w:r>
          <w:rPr>
            <w:rFonts w:eastAsiaTheme="minorEastAsia"/>
          </w:rPr>
          <w:tab/>
        </w:r>
        <w:r>
          <w:rPr>
            <w:rFonts w:eastAsiaTheme="minorEastAsia"/>
          </w:rPr>
          <w:fldChar w:fldCharType="begin"/>
        </w:r>
        <w:r>
          <w:rPr>
            <w:rFonts w:eastAsiaTheme="minorEastAsia"/>
          </w:rPr>
          <w:instrText xml:space="preserve"> PAGEREF _Toc168064826 \h </w:instrText>
        </w:r>
        <w:r>
          <w:rPr>
            <w:rFonts w:eastAsiaTheme="minorEastAsia"/>
          </w:rPr>
        </w:r>
        <w:r>
          <w:rPr>
            <w:rFonts w:eastAsiaTheme="minorEastAsia"/>
          </w:rPr>
          <w:fldChar w:fldCharType="separate"/>
        </w:r>
        <w:r>
          <w:rPr>
            <w:rFonts w:eastAsiaTheme="minorEastAsia"/>
          </w:rPr>
          <w:t>66</w:t>
        </w:r>
        <w:r>
          <w:rPr>
            <w:rFonts w:eastAsiaTheme="minorEastAsia"/>
          </w:rPr>
          <w:fldChar w:fldCharType="end"/>
        </w:r>
      </w:hyperlink>
    </w:p>
    <w:p w:rsidR="00275E65" w:rsidRDefault="00902217">
      <w:pPr>
        <w:pStyle w:val="11"/>
        <w:tabs>
          <w:tab w:val="left" w:pos="440"/>
          <w:tab w:val="right" w:leader="dot" w:pos="9345"/>
        </w:tabs>
        <w:rPr>
          <w:rFonts w:eastAsiaTheme="minorEastAsia"/>
          <w:lang w:val="uk-UA" w:eastAsia="uk-UA"/>
        </w:rPr>
      </w:pPr>
      <w:hyperlink w:anchor="_Toc168064827" w:tooltip="#_Toc168064827" w:history="1">
        <w:r>
          <w:rPr>
            <w:rStyle w:val="af3"/>
            <w:rFonts w:ascii="Times New Roman" w:eastAsiaTheme="minorEastAsia" w:hAnsi="Times New Roman" w:cs="Times New Roman"/>
          </w:rPr>
          <w:t>7.</w:t>
        </w:r>
        <w:r>
          <w:rPr>
            <w:rFonts w:eastAsiaTheme="minorEastAsia"/>
            <w:lang w:val="uk-UA" w:eastAsia="uk-UA"/>
          </w:rPr>
          <w:tab/>
        </w:r>
        <w:r>
          <w:rPr>
            <w:rStyle w:val="af3"/>
            <w:rFonts w:ascii="Times New Roman" w:eastAsiaTheme="minorEastAsia" w:hAnsi="Times New Roman" w:cs="Times New Roman"/>
          </w:rPr>
          <w:t>Середньострокова місцева цільова програма</w:t>
        </w:r>
        <w:r>
          <w:rPr>
            <w:rFonts w:eastAsiaTheme="minorEastAsia"/>
          </w:rPr>
          <w:tab/>
        </w:r>
        <w:r>
          <w:rPr>
            <w:rFonts w:eastAsiaTheme="minorEastAsia"/>
          </w:rPr>
          <w:fldChar w:fldCharType="begin"/>
        </w:r>
        <w:r>
          <w:rPr>
            <w:rFonts w:eastAsiaTheme="minorEastAsia"/>
          </w:rPr>
          <w:instrText xml:space="preserve"> PAGEREF _Toc168064827 \h </w:instrText>
        </w:r>
        <w:r>
          <w:rPr>
            <w:rFonts w:eastAsiaTheme="minorEastAsia"/>
          </w:rPr>
        </w:r>
        <w:r>
          <w:rPr>
            <w:rFonts w:eastAsiaTheme="minorEastAsia"/>
          </w:rPr>
          <w:fldChar w:fldCharType="separate"/>
        </w:r>
        <w:r>
          <w:rPr>
            <w:rFonts w:eastAsiaTheme="minorEastAsia"/>
          </w:rPr>
          <w:t>68</w:t>
        </w:r>
        <w:r>
          <w:rPr>
            <w:rFonts w:eastAsiaTheme="minorEastAsia"/>
          </w:rPr>
          <w:fldChar w:fldCharType="end"/>
        </w:r>
      </w:hyperlink>
    </w:p>
    <w:p w:rsidR="00275E65" w:rsidRDefault="00902217">
      <w:pPr>
        <w:pStyle w:val="11"/>
        <w:tabs>
          <w:tab w:val="left" w:pos="440"/>
          <w:tab w:val="right" w:leader="dot" w:pos="9345"/>
        </w:tabs>
        <w:rPr>
          <w:rFonts w:eastAsiaTheme="minorEastAsia"/>
          <w:lang w:val="uk-UA" w:eastAsia="uk-UA"/>
        </w:rPr>
      </w:pPr>
      <w:hyperlink w:anchor="_Toc168064828" w:tooltip="#_Toc168064828" w:history="1">
        <w:r>
          <w:rPr>
            <w:rStyle w:val="af3"/>
            <w:rFonts w:ascii="Times New Roman" w:eastAsiaTheme="minorEastAsia" w:hAnsi="Times New Roman" w:cs="Times New Roman"/>
          </w:rPr>
          <w:t>8.</w:t>
        </w:r>
        <w:r>
          <w:rPr>
            <w:rFonts w:eastAsiaTheme="minorEastAsia"/>
            <w:lang w:val="uk-UA" w:eastAsia="uk-UA"/>
          </w:rPr>
          <w:tab/>
        </w:r>
        <w:r>
          <w:rPr>
            <w:rStyle w:val="af3"/>
            <w:rFonts w:ascii="Times New Roman" w:eastAsiaTheme="minorEastAsia" w:hAnsi="Times New Roman" w:cs="Times New Roman"/>
          </w:rPr>
          <w:t xml:space="preserve">Очікувані результати </w:t>
        </w:r>
        <w:r>
          <w:rPr>
            <w:rStyle w:val="af3"/>
            <w:rFonts w:ascii="Times New Roman" w:eastAsiaTheme="minorEastAsia" w:hAnsi="Times New Roman" w:cs="Times New Roman"/>
          </w:rPr>
          <w:t>виконання МЕП</w:t>
        </w:r>
        <w:r>
          <w:rPr>
            <w:rFonts w:eastAsiaTheme="minorEastAsia"/>
          </w:rPr>
          <w:tab/>
        </w:r>
        <w:r>
          <w:rPr>
            <w:rFonts w:eastAsiaTheme="minorEastAsia"/>
          </w:rPr>
          <w:fldChar w:fldCharType="begin"/>
        </w:r>
        <w:r>
          <w:rPr>
            <w:rFonts w:eastAsiaTheme="minorEastAsia"/>
          </w:rPr>
          <w:instrText xml:space="preserve"> PAGEREF _Toc168064828 \h </w:instrText>
        </w:r>
        <w:r>
          <w:rPr>
            <w:rFonts w:eastAsiaTheme="minorEastAsia"/>
          </w:rPr>
        </w:r>
        <w:r>
          <w:rPr>
            <w:rFonts w:eastAsiaTheme="minorEastAsia"/>
          </w:rPr>
          <w:fldChar w:fldCharType="separate"/>
        </w:r>
        <w:r>
          <w:rPr>
            <w:rFonts w:eastAsiaTheme="minorEastAsia"/>
          </w:rPr>
          <w:t>69</w:t>
        </w:r>
        <w:r>
          <w:rPr>
            <w:rFonts w:eastAsiaTheme="minorEastAsia"/>
          </w:rPr>
          <w:fldChar w:fldCharType="end"/>
        </w:r>
      </w:hyperlink>
    </w:p>
    <w:p w:rsidR="00275E65" w:rsidRDefault="00902217">
      <w:pPr>
        <w:pStyle w:val="25"/>
        <w:tabs>
          <w:tab w:val="left" w:pos="880"/>
          <w:tab w:val="right" w:leader="dot" w:pos="9345"/>
        </w:tabs>
        <w:rPr>
          <w:rFonts w:eastAsiaTheme="minorEastAsia"/>
          <w:lang w:val="uk-UA" w:eastAsia="uk-UA"/>
        </w:rPr>
      </w:pPr>
      <w:hyperlink w:anchor="_Toc168064829" w:tooltip="#_Toc168064829" w:history="1">
        <w:r>
          <w:rPr>
            <w:rStyle w:val="af3"/>
            <w:rFonts w:ascii="Times New Roman" w:eastAsiaTheme="minorEastAsia" w:hAnsi="Times New Roman" w:cs="Times New Roman"/>
          </w:rPr>
          <w:t>8.1.</w:t>
        </w:r>
        <w:r>
          <w:rPr>
            <w:rFonts w:eastAsiaTheme="minorEastAsia"/>
            <w:lang w:val="uk-UA" w:eastAsia="uk-UA"/>
          </w:rPr>
          <w:tab/>
        </w:r>
        <w:r>
          <w:rPr>
            <w:rStyle w:val="af3"/>
            <w:rFonts w:ascii="Times New Roman" w:eastAsiaTheme="minorEastAsia" w:hAnsi="Times New Roman" w:cs="Times New Roman"/>
          </w:rPr>
          <w:t>Кількісні і якісні показників основних очікуваних результатів від виконання муніципальн</w:t>
        </w:r>
        <w:r>
          <w:rPr>
            <w:rStyle w:val="af3"/>
            <w:rFonts w:ascii="Times New Roman" w:eastAsiaTheme="minorEastAsia" w:hAnsi="Times New Roman" w:cs="Times New Roman"/>
          </w:rPr>
          <w:t>ого енергетичного плану на кінець періоду енергетичного планування в розрізі пріоритетних секторі</w:t>
        </w:r>
        <w:r>
          <w:rPr>
            <w:rFonts w:eastAsiaTheme="minorEastAsia"/>
          </w:rPr>
          <w:tab/>
        </w:r>
        <w:r>
          <w:rPr>
            <w:rFonts w:eastAsiaTheme="minorEastAsia"/>
          </w:rPr>
          <w:fldChar w:fldCharType="begin"/>
        </w:r>
        <w:r>
          <w:rPr>
            <w:rFonts w:eastAsiaTheme="minorEastAsia"/>
          </w:rPr>
          <w:instrText xml:space="preserve"> PAGEREF _Toc168064829 \h </w:instrText>
        </w:r>
        <w:r>
          <w:rPr>
            <w:rFonts w:eastAsiaTheme="minorEastAsia"/>
          </w:rPr>
        </w:r>
        <w:r>
          <w:rPr>
            <w:rFonts w:eastAsiaTheme="minorEastAsia"/>
          </w:rPr>
          <w:fldChar w:fldCharType="separate"/>
        </w:r>
        <w:r>
          <w:rPr>
            <w:rFonts w:eastAsiaTheme="minorEastAsia"/>
          </w:rPr>
          <w:t>69</w:t>
        </w:r>
        <w:r>
          <w:rPr>
            <w:rFonts w:eastAsiaTheme="minorEastAsia"/>
          </w:rPr>
          <w:fldChar w:fldCharType="end"/>
        </w:r>
      </w:hyperlink>
    </w:p>
    <w:p w:rsidR="00275E65" w:rsidRDefault="00902217">
      <w:pPr>
        <w:pStyle w:val="31"/>
        <w:tabs>
          <w:tab w:val="right" w:leader="dot" w:pos="9345"/>
        </w:tabs>
        <w:rPr>
          <w:rFonts w:eastAsiaTheme="minorEastAsia"/>
          <w:lang w:val="uk-UA" w:eastAsia="uk-UA"/>
        </w:rPr>
      </w:pPr>
      <w:hyperlink w:anchor="_Toc168064830" w:tooltip="#_Toc168064830" w:history="1">
        <w:r>
          <w:rPr>
            <w:rStyle w:val="af3"/>
            <w:rFonts w:eastAsiaTheme="minorEastAsia" w:cstheme="minorHAnsi"/>
            <w:lang w:eastAsia="en-GB"/>
          </w:rPr>
          <w:t>Заходи з</w:t>
        </w:r>
        <w:r>
          <w:rPr>
            <w:rStyle w:val="af3"/>
            <w:rFonts w:eastAsiaTheme="minorEastAsia" w:cstheme="minorHAnsi"/>
            <w:lang w:eastAsia="en-GB"/>
          </w:rPr>
          <w:t xml:space="preserve"> термомодернізації</w:t>
        </w:r>
        <w:r>
          <w:rPr>
            <w:rStyle w:val="af3"/>
            <w:rFonts w:eastAsiaTheme="minorEastAsia" w:cstheme="minorHAnsi"/>
          </w:rPr>
          <w:t xml:space="preserve"> будівель</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_Toc168064830 \h </w:instrText>
        </w:r>
        <w:r>
          <w:rPr>
            <w:rFonts w:eastAsiaTheme="minorEastAsia" w:cstheme="minorHAnsi"/>
          </w:rPr>
        </w:r>
        <w:r>
          <w:rPr>
            <w:rFonts w:eastAsiaTheme="minorEastAsia" w:cstheme="minorHAnsi"/>
          </w:rPr>
          <w:fldChar w:fldCharType="separate"/>
        </w:r>
        <w:r>
          <w:rPr>
            <w:rFonts w:eastAsiaTheme="minorEastAsia" w:cstheme="minorHAnsi"/>
          </w:rPr>
          <w:t>73</w:t>
        </w:r>
        <w:r>
          <w:rPr>
            <w:rFonts w:eastAsiaTheme="minorEastAsia" w:cstheme="minorHAnsi"/>
          </w:rPr>
          <w:fldChar w:fldCharType="end"/>
        </w:r>
      </w:hyperlink>
    </w:p>
    <w:p w:rsidR="00275E65" w:rsidRDefault="00902217">
      <w:pPr>
        <w:pStyle w:val="31"/>
        <w:tabs>
          <w:tab w:val="right" w:leader="dot" w:pos="9345"/>
        </w:tabs>
        <w:rPr>
          <w:rFonts w:eastAsiaTheme="minorEastAsia"/>
          <w:lang w:val="uk-UA" w:eastAsia="uk-UA"/>
        </w:rPr>
      </w:pPr>
      <w:hyperlink w:anchor="_Toc168064831" w:tooltip="#_Toc168064831" w:history="1">
        <w:r>
          <w:rPr>
            <w:rStyle w:val="af3"/>
            <w:rFonts w:ascii="Times New Roman" w:eastAsiaTheme="minorEastAsia" w:hAnsi="Times New Roman" w:cstheme="minorHAnsi"/>
            <w:lang w:eastAsia="en-GB"/>
          </w:rPr>
          <w:t>Зовнішні стіни</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_Toc168064831 \h </w:instrText>
        </w:r>
        <w:r>
          <w:rPr>
            <w:rFonts w:eastAsiaTheme="minorEastAsia" w:cstheme="minorHAnsi"/>
          </w:rPr>
        </w:r>
        <w:r>
          <w:rPr>
            <w:rFonts w:eastAsiaTheme="minorEastAsia" w:cstheme="minorHAnsi"/>
          </w:rPr>
          <w:fldChar w:fldCharType="separate"/>
        </w:r>
        <w:r>
          <w:rPr>
            <w:rFonts w:eastAsiaTheme="minorEastAsia" w:cstheme="minorHAnsi"/>
          </w:rPr>
          <w:t>74</w:t>
        </w:r>
        <w:r>
          <w:rPr>
            <w:rFonts w:eastAsiaTheme="minorEastAsia" w:cstheme="minorHAnsi"/>
          </w:rPr>
          <w:fldChar w:fldCharType="end"/>
        </w:r>
      </w:hyperlink>
    </w:p>
    <w:p w:rsidR="00275E65" w:rsidRDefault="00902217">
      <w:pPr>
        <w:pStyle w:val="31"/>
        <w:tabs>
          <w:tab w:val="right" w:leader="dot" w:pos="9345"/>
        </w:tabs>
        <w:rPr>
          <w:rFonts w:eastAsiaTheme="minorEastAsia"/>
          <w:lang w:val="uk-UA" w:eastAsia="uk-UA"/>
        </w:rPr>
      </w:pPr>
      <w:hyperlink w:anchor="_Toc168064832" w:tooltip="#_Toc168064832" w:history="1">
        <w:r>
          <w:rPr>
            <w:rStyle w:val="af3"/>
            <w:rFonts w:ascii="Times New Roman" w:eastAsiaTheme="minorEastAsia" w:hAnsi="Times New Roman" w:cstheme="minorHAnsi"/>
          </w:rPr>
          <w:t>Розрахунки будівель Носівської громади</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_Toc168064832 \h </w:instrText>
        </w:r>
        <w:r>
          <w:rPr>
            <w:rFonts w:eastAsiaTheme="minorEastAsia" w:cstheme="minorHAnsi"/>
          </w:rPr>
        </w:r>
        <w:r>
          <w:rPr>
            <w:rFonts w:eastAsiaTheme="minorEastAsia" w:cstheme="minorHAnsi"/>
          </w:rPr>
          <w:fldChar w:fldCharType="separate"/>
        </w:r>
        <w:r>
          <w:rPr>
            <w:rFonts w:eastAsiaTheme="minorEastAsia" w:cstheme="minorHAnsi"/>
          </w:rPr>
          <w:t>77</w:t>
        </w:r>
        <w:r>
          <w:rPr>
            <w:rFonts w:eastAsiaTheme="minorEastAsia" w:cstheme="minorHAnsi"/>
          </w:rPr>
          <w:fldChar w:fldCharType="end"/>
        </w:r>
      </w:hyperlink>
    </w:p>
    <w:p w:rsidR="00275E65" w:rsidRDefault="00902217">
      <w:pPr>
        <w:pStyle w:val="31"/>
        <w:tabs>
          <w:tab w:val="right" w:leader="dot" w:pos="9345"/>
        </w:tabs>
        <w:rPr>
          <w:rFonts w:eastAsiaTheme="minorEastAsia"/>
          <w:lang w:val="uk-UA" w:eastAsia="uk-UA"/>
        </w:rPr>
      </w:pPr>
      <w:hyperlink w:anchor="_Toc168064833" w:tooltip="#_Toc168064833" w:history="1">
        <w:r>
          <w:rPr>
            <w:rStyle w:val="af3"/>
            <w:rFonts w:ascii="Times New Roman" w:eastAsiaTheme="minorEastAsia" w:hAnsi="Times New Roman" w:cstheme="minorHAnsi"/>
          </w:rPr>
          <w:t>Володьководівицький ліцей</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_Toc168064833 \h </w:instrText>
        </w:r>
        <w:r>
          <w:rPr>
            <w:rFonts w:eastAsiaTheme="minorEastAsia" w:cstheme="minorHAnsi"/>
          </w:rPr>
        </w:r>
        <w:r>
          <w:rPr>
            <w:rFonts w:eastAsiaTheme="minorEastAsia" w:cstheme="minorHAnsi"/>
          </w:rPr>
          <w:fldChar w:fldCharType="separate"/>
        </w:r>
        <w:r>
          <w:rPr>
            <w:rFonts w:eastAsiaTheme="minorEastAsia" w:cstheme="minorHAnsi"/>
          </w:rPr>
          <w:t>77</w:t>
        </w:r>
        <w:r>
          <w:rPr>
            <w:rFonts w:eastAsiaTheme="minorEastAsia" w:cstheme="minorHAnsi"/>
          </w:rPr>
          <w:fldChar w:fldCharType="end"/>
        </w:r>
      </w:hyperlink>
    </w:p>
    <w:p w:rsidR="00275E65" w:rsidRDefault="00902217">
      <w:pPr>
        <w:tabs>
          <w:tab w:val="left" w:pos="709"/>
        </w:tabs>
        <w:spacing w:after="0" w:line="276" w:lineRule="auto"/>
        <w:rPr>
          <w:rFonts w:ascii="Times New Roman" w:hAnsi="Times New Roman" w:cs="Times New Roman"/>
          <w:lang w:val="uk-UA"/>
        </w:rPr>
      </w:pPr>
      <w:r>
        <w:rPr>
          <w:rFonts w:ascii="Times New Roman" w:eastAsiaTheme="minorEastAsia" w:hAnsi="Times New Roman" w:cstheme="minorHAnsi"/>
          <w:lang w:val="uk-UA"/>
        </w:rPr>
        <w:fldChar w:fldCharType="end"/>
      </w:r>
    </w:p>
    <w:p w:rsidR="00275E65" w:rsidRDefault="00902217">
      <w:pPr>
        <w:tabs>
          <w:tab w:val="left" w:pos="709"/>
        </w:tabs>
        <w:spacing w:after="0" w:line="276" w:lineRule="auto"/>
        <w:rPr>
          <w:rFonts w:ascii="Times New Roman" w:hAnsi="Times New Roman" w:cs="Times New Roman"/>
          <w:lang w:val="uk-UA"/>
        </w:rPr>
      </w:pPr>
      <w:r>
        <w:rPr>
          <w:rFonts w:ascii="Times New Roman" w:eastAsiaTheme="minorEastAsia" w:hAnsi="Times New Roman" w:cstheme="minorHAnsi"/>
          <w:lang w:val="uk-UA"/>
        </w:rPr>
        <w:br w:type="page"/>
      </w:r>
    </w:p>
    <w:p w:rsidR="00275E65" w:rsidRDefault="00902217">
      <w:pPr>
        <w:pStyle w:val="Arord"/>
        <w:tabs>
          <w:tab w:val="left" w:pos="709"/>
        </w:tabs>
        <w:spacing w:after="0" w:line="276" w:lineRule="auto"/>
        <w:rPr>
          <w:rFonts w:ascii="Times New Roman" w:hAnsi="Times New Roman" w:cs="Times New Roman"/>
          <w:b/>
          <w:bCs/>
          <w:i/>
          <w:iCs/>
          <w:sz w:val="22"/>
        </w:rPr>
      </w:pPr>
      <w:r>
        <w:rPr>
          <w:rFonts w:ascii="Times New Roman" w:eastAsiaTheme="minorEastAsia" w:hAnsi="Times New Roman" w:cstheme="minorHAnsi"/>
          <w:b/>
          <w:bCs/>
          <w:i/>
          <w:iCs/>
          <w:sz w:val="22"/>
        </w:rPr>
        <w:lastRenderedPageBreak/>
        <w:t>Перелік таблиць</w:t>
      </w:r>
    </w:p>
    <w:p w:rsidR="00275E65" w:rsidRDefault="00902217">
      <w:pPr>
        <w:pStyle w:val="11"/>
        <w:tabs>
          <w:tab w:val="left" w:pos="1320"/>
          <w:tab w:val="right" w:leader="hyphen" w:pos="9345"/>
        </w:tabs>
        <w:rPr>
          <w:rFonts w:eastAsiaTheme="minorEastAsia"/>
          <w:lang w:val="uk-UA" w:eastAsia="uk-UA"/>
        </w:rPr>
      </w:pPr>
      <w:r>
        <w:rPr>
          <w:rFonts w:ascii="Times New Roman" w:eastAsiaTheme="minorEastAsia" w:hAnsi="Times New Roman" w:cstheme="minorHAnsi"/>
        </w:rPr>
        <w:fldChar w:fldCharType="begin"/>
      </w:r>
      <w:r>
        <w:rPr>
          <w:rFonts w:ascii="Times New Roman" w:eastAsiaTheme="minorEastAsia" w:hAnsi="Times New Roman" w:cstheme="minorHAnsi"/>
        </w:rPr>
        <w:instrText xml:space="preserve"> TOC \h \z \t "Ar_tbl_name;1" </w:instrText>
      </w:r>
      <w:r>
        <w:rPr>
          <w:rFonts w:ascii="Times New Roman" w:eastAsiaTheme="minorEastAsia" w:hAnsi="Times New Roman" w:cstheme="minorHAnsi"/>
        </w:rPr>
        <w:fldChar w:fldCharType="separate"/>
      </w:r>
      <w:hyperlink w:anchor="_Toc168064834" w:tooltip="#_Toc168064834" w:history="1">
        <w:r>
          <w:rPr>
            <w:rStyle w:val="af3"/>
            <w:rFonts w:ascii="Times New Roman" w:eastAsiaTheme="minorEastAsia" w:hAnsi="Times New Roman" w:cstheme="minorHAnsi"/>
          </w:rPr>
          <w:t>Таблиця. 1.</w:t>
        </w:r>
        <w:r>
          <w:rPr>
            <w:rFonts w:eastAsiaTheme="minorEastAsia" w:cstheme="minorHAnsi"/>
            <w:lang w:val="uk-UA" w:eastAsia="uk-UA"/>
          </w:rPr>
          <w:tab/>
        </w:r>
        <w:r>
          <w:rPr>
            <w:rStyle w:val="af3"/>
            <w:rFonts w:ascii="Times New Roman" w:eastAsiaTheme="minorEastAsia" w:hAnsi="Times New Roman" w:cstheme="minorHAnsi"/>
          </w:rPr>
          <w:t>Чисельність населення громади</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_Toc168064834 \h </w:instrText>
        </w:r>
        <w:r>
          <w:rPr>
            <w:rFonts w:eastAsiaTheme="minorEastAsia" w:cstheme="minorHAnsi"/>
          </w:rPr>
        </w:r>
        <w:r>
          <w:rPr>
            <w:rFonts w:eastAsiaTheme="minorEastAsia" w:cstheme="minorHAnsi"/>
          </w:rPr>
          <w:fldChar w:fldCharType="separate"/>
        </w:r>
        <w:r>
          <w:rPr>
            <w:rFonts w:eastAsiaTheme="minorEastAsia" w:cstheme="minorHAnsi"/>
          </w:rPr>
          <w:t>10</w:t>
        </w:r>
        <w:r>
          <w:rPr>
            <w:rFonts w:eastAsiaTheme="minorEastAsia" w:cstheme="minorHAnsi"/>
          </w:rPr>
          <w:fldChar w:fldCharType="end"/>
        </w:r>
      </w:hyperlink>
    </w:p>
    <w:p w:rsidR="00275E65" w:rsidRDefault="00902217">
      <w:pPr>
        <w:pStyle w:val="11"/>
        <w:tabs>
          <w:tab w:val="left" w:pos="1320"/>
          <w:tab w:val="right" w:leader="hyphen" w:pos="9345"/>
        </w:tabs>
        <w:rPr>
          <w:rFonts w:eastAsiaTheme="minorEastAsia"/>
          <w:lang w:val="uk-UA" w:eastAsia="uk-UA"/>
        </w:rPr>
      </w:pPr>
      <w:hyperlink w:anchor="_Toc168064835" w:tooltip="#_Toc168064835" w:history="1">
        <w:r>
          <w:rPr>
            <w:rStyle w:val="af3"/>
            <w:rFonts w:ascii="Times New Roman" w:eastAsiaTheme="minorEastAsia" w:hAnsi="Times New Roman" w:cstheme="minorHAnsi"/>
          </w:rPr>
          <w:t>Таблиця. 2.</w:t>
        </w:r>
        <w:r>
          <w:rPr>
            <w:rFonts w:eastAsiaTheme="minorEastAsia" w:cstheme="minorHAnsi"/>
            <w:lang w:val="uk-UA" w:eastAsia="uk-UA"/>
          </w:rPr>
          <w:tab/>
        </w:r>
        <w:r>
          <w:rPr>
            <w:rStyle w:val="af3"/>
            <w:rFonts w:ascii="Times New Roman" w:eastAsiaTheme="minorEastAsia" w:hAnsi="Times New Roman" w:cstheme="minorHAnsi"/>
          </w:rPr>
          <w:t>Фо</w:t>
        </w:r>
        <w:r>
          <w:rPr>
            <w:rStyle w:val="af3"/>
            <w:rFonts w:ascii="Times New Roman" w:eastAsiaTheme="minorEastAsia" w:hAnsi="Times New Roman" w:cstheme="minorHAnsi"/>
          </w:rPr>
          <w:t>рма таблиці «баланс» для Носівської територіальної громади. МВт·год.</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_Toc168064835 \h </w:instrText>
        </w:r>
        <w:r>
          <w:rPr>
            <w:rFonts w:eastAsiaTheme="minorEastAsia" w:cstheme="minorHAnsi"/>
          </w:rPr>
        </w:r>
        <w:r>
          <w:rPr>
            <w:rFonts w:eastAsiaTheme="minorEastAsia" w:cstheme="minorHAnsi"/>
          </w:rPr>
          <w:fldChar w:fldCharType="separate"/>
        </w:r>
        <w:r>
          <w:rPr>
            <w:rFonts w:eastAsiaTheme="minorEastAsia" w:cstheme="minorHAnsi"/>
          </w:rPr>
          <w:t>12</w:t>
        </w:r>
        <w:r>
          <w:rPr>
            <w:rFonts w:eastAsiaTheme="minorEastAsia" w:cstheme="minorHAnsi"/>
          </w:rPr>
          <w:fldChar w:fldCharType="end"/>
        </w:r>
      </w:hyperlink>
    </w:p>
    <w:p w:rsidR="00275E65" w:rsidRDefault="00902217">
      <w:pPr>
        <w:pStyle w:val="11"/>
        <w:tabs>
          <w:tab w:val="left" w:pos="1320"/>
          <w:tab w:val="right" w:leader="hyphen" w:pos="9345"/>
        </w:tabs>
        <w:rPr>
          <w:rFonts w:eastAsiaTheme="minorEastAsia"/>
          <w:lang w:val="uk-UA" w:eastAsia="uk-UA"/>
        </w:rPr>
      </w:pPr>
      <w:hyperlink w:anchor="_Toc168064836" w:tooltip="#_Toc168064836" w:history="1">
        <w:r>
          <w:rPr>
            <w:rStyle w:val="af3"/>
            <w:rFonts w:ascii="Times New Roman" w:eastAsiaTheme="minorEastAsia" w:hAnsi="Times New Roman" w:cstheme="minorHAnsi"/>
          </w:rPr>
          <w:t>Таблиця. 3.</w:t>
        </w:r>
        <w:r>
          <w:rPr>
            <w:rFonts w:eastAsiaTheme="minorEastAsia" w:cstheme="minorHAnsi"/>
            <w:lang w:val="uk-UA" w:eastAsia="uk-UA"/>
          </w:rPr>
          <w:tab/>
        </w:r>
        <w:r>
          <w:rPr>
            <w:rStyle w:val="af3"/>
            <w:rFonts w:ascii="Times New Roman" w:eastAsiaTheme="minorEastAsia" w:hAnsi="Times New Roman" w:cstheme="minorHAnsi"/>
          </w:rPr>
          <w:t>Проєкти реалізовані в пері</w:t>
        </w:r>
        <w:r>
          <w:rPr>
            <w:rStyle w:val="af3"/>
            <w:rFonts w:ascii="Times New Roman" w:eastAsiaTheme="minorEastAsia" w:hAnsi="Times New Roman" w:cstheme="minorHAnsi"/>
          </w:rPr>
          <w:t>од 2018-2019 рр в секторі громадських будівель</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_Toc168064836 \h </w:instrText>
        </w:r>
        <w:r>
          <w:rPr>
            <w:rFonts w:eastAsiaTheme="minorEastAsia" w:cstheme="minorHAnsi"/>
          </w:rPr>
        </w:r>
        <w:r>
          <w:rPr>
            <w:rFonts w:eastAsiaTheme="minorEastAsia" w:cstheme="minorHAnsi"/>
          </w:rPr>
          <w:fldChar w:fldCharType="separate"/>
        </w:r>
        <w:r>
          <w:rPr>
            <w:rFonts w:eastAsiaTheme="minorEastAsia" w:cstheme="minorHAnsi"/>
          </w:rPr>
          <w:t>26</w:t>
        </w:r>
        <w:r>
          <w:rPr>
            <w:rFonts w:eastAsiaTheme="minorEastAsia" w:cstheme="minorHAnsi"/>
          </w:rPr>
          <w:fldChar w:fldCharType="end"/>
        </w:r>
      </w:hyperlink>
    </w:p>
    <w:p w:rsidR="00275E65" w:rsidRDefault="00902217">
      <w:pPr>
        <w:pStyle w:val="11"/>
        <w:tabs>
          <w:tab w:val="left" w:pos="1320"/>
          <w:tab w:val="right" w:leader="hyphen" w:pos="9345"/>
        </w:tabs>
        <w:rPr>
          <w:rFonts w:eastAsiaTheme="minorEastAsia"/>
          <w:lang w:val="uk-UA" w:eastAsia="uk-UA"/>
        </w:rPr>
      </w:pPr>
      <w:hyperlink w:anchor="_Toc168064837" w:tooltip="#_Toc168064837" w:history="1">
        <w:r>
          <w:rPr>
            <w:rStyle w:val="af3"/>
            <w:rFonts w:ascii="Times New Roman" w:eastAsiaTheme="minorEastAsia" w:hAnsi="Times New Roman" w:cstheme="minorHAnsi"/>
          </w:rPr>
          <w:t>Таблиця. 4.</w:t>
        </w:r>
        <w:r>
          <w:rPr>
            <w:rFonts w:eastAsiaTheme="minorEastAsia" w:cstheme="minorHAnsi"/>
            <w:lang w:val="uk-UA" w:eastAsia="uk-UA"/>
          </w:rPr>
          <w:tab/>
        </w:r>
        <w:r>
          <w:rPr>
            <w:rStyle w:val="af3"/>
            <w:rFonts w:ascii="Times New Roman" w:eastAsiaTheme="minorEastAsia" w:hAnsi="Times New Roman" w:cstheme="minorHAnsi"/>
          </w:rPr>
          <w:t>Проєкти реалізовані в період 2020-2023 рр в сект</w:t>
        </w:r>
        <w:r>
          <w:rPr>
            <w:rStyle w:val="af3"/>
            <w:rFonts w:ascii="Times New Roman" w:eastAsiaTheme="minorEastAsia" w:hAnsi="Times New Roman" w:cstheme="minorHAnsi"/>
          </w:rPr>
          <w:t>орі теплопостачання.</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_Toc168064837 \h </w:instrText>
        </w:r>
        <w:r>
          <w:rPr>
            <w:rFonts w:eastAsiaTheme="minorEastAsia" w:cstheme="minorHAnsi"/>
          </w:rPr>
        </w:r>
        <w:r>
          <w:rPr>
            <w:rFonts w:eastAsiaTheme="minorEastAsia" w:cstheme="minorHAnsi"/>
          </w:rPr>
          <w:fldChar w:fldCharType="separate"/>
        </w:r>
        <w:r>
          <w:rPr>
            <w:rFonts w:eastAsiaTheme="minorEastAsia" w:cstheme="minorHAnsi"/>
          </w:rPr>
          <w:t>27</w:t>
        </w:r>
        <w:r>
          <w:rPr>
            <w:rFonts w:eastAsiaTheme="minorEastAsia" w:cstheme="minorHAnsi"/>
          </w:rPr>
          <w:fldChar w:fldCharType="end"/>
        </w:r>
      </w:hyperlink>
    </w:p>
    <w:p w:rsidR="00275E65" w:rsidRDefault="00902217">
      <w:pPr>
        <w:pStyle w:val="11"/>
        <w:tabs>
          <w:tab w:val="left" w:pos="1320"/>
          <w:tab w:val="right" w:leader="hyphen" w:pos="9345"/>
        </w:tabs>
        <w:rPr>
          <w:rFonts w:eastAsiaTheme="minorEastAsia"/>
          <w:lang w:val="uk-UA" w:eastAsia="uk-UA"/>
        </w:rPr>
      </w:pPr>
      <w:hyperlink w:anchor="_Toc168064838" w:tooltip="#_Toc168064838" w:history="1">
        <w:r>
          <w:rPr>
            <w:rStyle w:val="af3"/>
            <w:rFonts w:ascii="Times New Roman" w:eastAsiaTheme="minorEastAsia" w:hAnsi="Times New Roman" w:cstheme="minorHAnsi"/>
          </w:rPr>
          <w:t>Таблиця. 5.</w:t>
        </w:r>
        <w:r>
          <w:rPr>
            <w:rFonts w:eastAsiaTheme="minorEastAsia" w:cstheme="minorHAnsi"/>
            <w:lang w:val="uk-UA" w:eastAsia="uk-UA"/>
          </w:rPr>
          <w:tab/>
        </w:r>
        <w:r>
          <w:rPr>
            <w:rStyle w:val="af3"/>
            <w:rFonts w:ascii="Times New Roman" w:eastAsiaTheme="minorEastAsia" w:hAnsi="Times New Roman" w:cstheme="minorHAnsi"/>
          </w:rPr>
          <w:t>Перелі заходів які впровадження в період 2017-2022 рр в секторі зовнішньог</w:t>
        </w:r>
        <w:r>
          <w:rPr>
            <w:rStyle w:val="af3"/>
            <w:rFonts w:ascii="Times New Roman" w:eastAsiaTheme="minorEastAsia" w:hAnsi="Times New Roman" w:cstheme="minorHAnsi"/>
          </w:rPr>
          <w:t>о освітлення.</w:t>
        </w:r>
        <w:r>
          <w:rPr>
            <w:rFonts w:eastAsiaTheme="minorEastAsia" w:cstheme="minorHAnsi"/>
          </w:rPr>
          <w:tab/>
        </w:r>
        <w:r>
          <w:rPr>
            <w:rFonts w:eastAsiaTheme="minorEastAsia" w:cstheme="minorHAnsi"/>
            <w:lang w:val="uk-UA"/>
          </w:rPr>
          <w:t xml:space="preserve">                                                                                                                                                             </w:t>
        </w:r>
        <w:r>
          <w:rPr>
            <w:rFonts w:eastAsiaTheme="minorEastAsia" w:cstheme="minorHAnsi"/>
          </w:rPr>
          <w:fldChar w:fldCharType="begin"/>
        </w:r>
        <w:r>
          <w:rPr>
            <w:rFonts w:eastAsiaTheme="minorEastAsia" w:cstheme="minorHAnsi"/>
          </w:rPr>
          <w:instrText xml:space="preserve"> PAGEREF _Toc168064838 \h </w:instrText>
        </w:r>
        <w:r>
          <w:rPr>
            <w:rFonts w:eastAsiaTheme="minorEastAsia" w:cstheme="minorHAnsi"/>
          </w:rPr>
        </w:r>
        <w:r>
          <w:rPr>
            <w:rFonts w:eastAsiaTheme="minorEastAsia" w:cstheme="minorHAnsi"/>
          </w:rPr>
          <w:fldChar w:fldCharType="separate"/>
        </w:r>
        <w:r>
          <w:rPr>
            <w:rFonts w:eastAsiaTheme="minorEastAsia" w:cstheme="minorHAnsi"/>
          </w:rPr>
          <w:t>31</w:t>
        </w:r>
        <w:r>
          <w:rPr>
            <w:rFonts w:eastAsiaTheme="minorEastAsia" w:cstheme="minorHAnsi"/>
          </w:rPr>
          <w:fldChar w:fldCharType="end"/>
        </w:r>
      </w:hyperlink>
    </w:p>
    <w:p w:rsidR="00275E65" w:rsidRDefault="00902217">
      <w:pPr>
        <w:pStyle w:val="11"/>
        <w:tabs>
          <w:tab w:val="left" w:pos="1320"/>
          <w:tab w:val="right" w:leader="hyphen" w:pos="9345"/>
        </w:tabs>
        <w:rPr>
          <w:rFonts w:eastAsiaTheme="minorEastAsia"/>
          <w:lang w:val="uk-UA" w:eastAsia="uk-UA"/>
        </w:rPr>
      </w:pPr>
      <w:hyperlink w:anchor="_Toc168064839" w:tooltip="#_Toc168064839" w:history="1">
        <w:r>
          <w:rPr>
            <w:rStyle w:val="af3"/>
            <w:rFonts w:ascii="Times New Roman" w:eastAsiaTheme="minorEastAsia" w:hAnsi="Times New Roman" w:cstheme="minorHAnsi"/>
          </w:rPr>
          <w:t>Таблиця. 6.</w:t>
        </w:r>
        <w:r>
          <w:rPr>
            <w:rFonts w:eastAsiaTheme="minorEastAsia" w:cstheme="minorHAnsi"/>
            <w:lang w:val="uk-UA" w:eastAsia="uk-UA"/>
          </w:rPr>
          <w:tab/>
        </w:r>
        <w:r>
          <w:rPr>
            <w:rStyle w:val="af3"/>
            <w:rFonts w:ascii="Times New Roman" w:eastAsiaTheme="minorEastAsia" w:hAnsi="Times New Roman" w:cstheme="minorHAnsi"/>
          </w:rPr>
          <w:t>Структура житлових будівель (за загальною площею), всього, у тому числі:</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_Toc168064839 \h </w:instrText>
        </w:r>
        <w:r>
          <w:rPr>
            <w:rFonts w:eastAsiaTheme="minorEastAsia" w:cstheme="minorHAnsi"/>
          </w:rPr>
        </w:r>
        <w:r>
          <w:rPr>
            <w:rFonts w:eastAsiaTheme="minorEastAsia" w:cstheme="minorHAnsi"/>
          </w:rPr>
          <w:fldChar w:fldCharType="separate"/>
        </w:r>
        <w:r>
          <w:rPr>
            <w:rFonts w:eastAsiaTheme="minorEastAsia" w:cstheme="minorHAnsi"/>
          </w:rPr>
          <w:t>36</w:t>
        </w:r>
        <w:r>
          <w:rPr>
            <w:rFonts w:eastAsiaTheme="minorEastAsia" w:cstheme="minorHAnsi"/>
          </w:rPr>
          <w:fldChar w:fldCharType="end"/>
        </w:r>
      </w:hyperlink>
    </w:p>
    <w:p w:rsidR="00275E65" w:rsidRDefault="00902217">
      <w:pPr>
        <w:pStyle w:val="11"/>
        <w:tabs>
          <w:tab w:val="left" w:pos="1320"/>
          <w:tab w:val="right" w:leader="hyphen" w:pos="9345"/>
        </w:tabs>
        <w:rPr>
          <w:rFonts w:eastAsiaTheme="minorEastAsia"/>
          <w:lang w:val="uk-UA" w:eastAsia="uk-UA"/>
        </w:rPr>
      </w:pPr>
      <w:hyperlink w:anchor="_Toc168064840" w:tooltip="#_Toc168064840" w:history="1">
        <w:r>
          <w:rPr>
            <w:rStyle w:val="af3"/>
            <w:rFonts w:ascii="Times New Roman" w:eastAsiaTheme="minorEastAsia" w:hAnsi="Times New Roman" w:cstheme="minorHAnsi"/>
          </w:rPr>
          <w:t>Таблиця. 7.</w:t>
        </w:r>
        <w:r>
          <w:rPr>
            <w:rFonts w:eastAsiaTheme="minorEastAsia" w:cstheme="minorHAnsi"/>
            <w:lang w:val="uk-UA" w:eastAsia="uk-UA"/>
          </w:rPr>
          <w:tab/>
        </w:r>
        <w:r>
          <w:rPr>
            <w:rStyle w:val="af3"/>
            <w:rFonts w:ascii="Times New Roman" w:eastAsiaTheme="minorEastAsia" w:hAnsi="Times New Roman" w:cstheme="minorHAnsi"/>
          </w:rPr>
          <w:t>Питоме розрахункове енергоспоживання при опаленні та охолодженні житлових будівель.</w:t>
        </w:r>
        <w:r>
          <w:rPr>
            <w:rFonts w:eastAsiaTheme="minorEastAsia" w:cstheme="minorHAnsi"/>
          </w:rPr>
          <w:tab/>
        </w:r>
        <w:r>
          <w:rPr>
            <w:rFonts w:eastAsiaTheme="minorEastAsia" w:cstheme="minorHAnsi"/>
            <w:lang w:val="uk-UA"/>
          </w:rPr>
          <w:t xml:space="preserve">                                                                </w:t>
        </w:r>
        <w:r>
          <w:rPr>
            <w:rFonts w:eastAsiaTheme="minorEastAsia" w:cstheme="minorHAnsi"/>
            <w:lang w:val="uk-UA"/>
          </w:rPr>
          <w:t xml:space="preserve">                                                                                            </w:t>
        </w:r>
        <w:r>
          <w:rPr>
            <w:rFonts w:eastAsiaTheme="minorEastAsia" w:cstheme="minorHAnsi"/>
          </w:rPr>
          <w:fldChar w:fldCharType="begin"/>
        </w:r>
        <w:r>
          <w:rPr>
            <w:rFonts w:eastAsiaTheme="minorEastAsia" w:cstheme="minorHAnsi"/>
          </w:rPr>
          <w:instrText xml:space="preserve"> PAGEREF _Toc168064840 \h </w:instrText>
        </w:r>
        <w:r>
          <w:rPr>
            <w:rFonts w:eastAsiaTheme="minorEastAsia" w:cstheme="minorHAnsi"/>
          </w:rPr>
        </w:r>
        <w:r>
          <w:rPr>
            <w:rFonts w:eastAsiaTheme="minorEastAsia" w:cstheme="minorHAnsi"/>
          </w:rPr>
          <w:fldChar w:fldCharType="separate"/>
        </w:r>
        <w:r>
          <w:rPr>
            <w:rFonts w:eastAsiaTheme="minorEastAsia" w:cstheme="minorHAnsi"/>
          </w:rPr>
          <w:t>36</w:t>
        </w:r>
        <w:r>
          <w:rPr>
            <w:rFonts w:eastAsiaTheme="minorEastAsia" w:cstheme="minorHAnsi"/>
          </w:rPr>
          <w:fldChar w:fldCharType="end"/>
        </w:r>
      </w:hyperlink>
    </w:p>
    <w:p w:rsidR="00275E65" w:rsidRDefault="00902217">
      <w:pPr>
        <w:pStyle w:val="11"/>
        <w:tabs>
          <w:tab w:val="left" w:pos="1320"/>
          <w:tab w:val="right" w:leader="hyphen" w:pos="9345"/>
        </w:tabs>
        <w:rPr>
          <w:rFonts w:eastAsiaTheme="minorEastAsia"/>
          <w:lang w:val="uk-UA" w:eastAsia="uk-UA"/>
        </w:rPr>
      </w:pPr>
      <w:hyperlink w:anchor="_Toc168064841" w:tooltip="#_Toc168064841" w:history="1">
        <w:r>
          <w:rPr>
            <w:rStyle w:val="af3"/>
            <w:rFonts w:ascii="Times New Roman" w:eastAsiaTheme="minorEastAsia" w:hAnsi="Times New Roman" w:cstheme="minorHAnsi"/>
          </w:rPr>
          <w:t>Таблиця. 8.</w:t>
        </w:r>
        <w:r>
          <w:rPr>
            <w:rFonts w:eastAsiaTheme="minorEastAsia" w:cstheme="minorHAnsi"/>
            <w:lang w:val="uk-UA" w:eastAsia="uk-UA"/>
          </w:rPr>
          <w:tab/>
        </w:r>
        <w:r>
          <w:rPr>
            <w:rStyle w:val="af3"/>
            <w:rFonts w:ascii="Times New Roman" w:eastAsiaTheme="minorEastAsia" w:hAnsi="Times New Roman" w:cstheme="minorHAnsi"/>
          </w:rPr>
          <w:t>Пи</w:t>
        </w:r>
        <w:r>
          <w:rPr>
            <w:rStyle w:val="af3"/>
            <w:rFonts w:ascii="Times New Roman" w:eastAsiaTheme="minorEastAsia" w:hAnsi="Times New Roman" w:cstheme="minorHAnsi"/>
          </w:rPr>
          <w:t>томе фактичне енергоспоживання на опалення житлових будівель.</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_Toc168064841 \h </w:instrText>
        </w:r>
        <w:r>
          <w:rPr>
            <w:rFonts w:eastAsiaTheme="minorEastAsia" w:cstheme="minorHAnsi"/>
          </w:rPr>
        </w:r>
        <w:r>
          <w:rPr>
            <w:rFonts w:eastAsiaTheme="minorEastAsia" w:cstheme="minorHAnsi"/>
          </w:rPr>
          <w:fldChar w:fldCharType="separate"/>
        </w:r>
        <w:r>
          <w:rPr>
            <w:rFonts w:eastAsiaTheme="minorEastAsia" w:cstheme="minorHAnsi"/>
          </w:rPr>
          <w:t>37</w:t>
        </w:r>
        <w:r>
          <w:rPr>
            <w:rFonts w:eastAsiaTheme="minorEastAsia" w:cstheme="minorHAnsi"/>
          </w:rPr>
          <w:fldChar w:fldCharType="end"/>
        </w:r>
      </w:hyperlink>
    </w:p>
    <w:p w:rsidR="00275E65" w:rsidRDefault="00902217">
      <w:pPr>
        <w:pStyle w:val="11"/>
        <w:tabs>
          <w:tab w:val="left" w:pos="1320"/>
          <w:tab w:val="right" w:leader="hyphen" w:pos="9345"/>
        </w:tabs>
        <w:rPr>
          <w:rFonts w:eastAsiaTheme="minorEastAsia"/>
          <w:lang w:val="uk-UA" w:eastAsia="uk-UA"/>
        </w:rPr>
      </w:pPr>
      <w:hyperlink w:anchor="_Toc168064842" w:tooltip="#_Toc168064842" w:history="1">
        <w:r>
          <w:rPr>
            <w:rStyle w:val="af3"/>
            <w:rFonts w:ascii="Times New Roman" w:eastAsiaTheme="minorEastAsia" w:hAnsi="Times New Roman" w:cstheme="minorHAnsi"/>
          </w:rPr>
          <w:t>Таблиця. 9.</w:t>
        </w:r>
        <w:r>
          <w:rPr>
            <w:rFonts w:eastAsiaTheme="minorEastAsia" w:cstheme="minorHAnsi"/>
            <w:lang w:val="uk-UA" w:eastAsia="uk-UA"/>
          </w:rPr>
          <w:tab/>
        </w:r>
        <w:r>
          <w:rPr>
            <w:rStyle w:val="af3"/>
            <w:rFonts w:ascii="Times New Roman" w:eastAsiaTheme="minorEastAsia" w:hAnsi="Times New Roman" w:cstheme="minorHAnsi"/>
          </w:rPr>
          <w:t>Питоме фактичне споживання елект</w:t>
        </w:r>
        <w:r>
          <w:rPr>
            <w:rStyle w:val="af3"/>
            <w:rFonts w:ascii="Times New Roman" w:eastAsiaTheme="minorEastAsia" w:hAnsi="Times New Roman" w:cstheme="minorHAnsi"/>
          </w:rPr>
          <w:t>роенергії житлових будівель.</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_Toc168064842 \h </w:instrText>
        </w:r>
        <w:r>
          <w:rPr>
            <w:rFonts w:eastAsiaTheme="minorEastAsia" w:cstheme="minorHAnsi"/>
          </w:rPr>
        </w:r>
        <w:r>
          <w:rPr>
            <w:rFonts w:eastAsiaTheme="minorEastAsia" w:cstheme="minorHAnsi"/>
          </w:rPr>
          <w:fldChar w:fldCharType="separate"/>
        </w:r>
        <w:r>
          <w:rPr>
            <w:rFonts w:eastAsiaTheme="minorEastAsia" w:cstheme="minorHAnsi"/>
          </w:rPr>
          <w:t>37</w:t>
        </w:r>
        <w:r>
          <w:rPr>
            <w:rFonts w:eastAsiaTheme="minorEastAsia" w:cstheme="minorHAnsi"/>
          </w:rPr>
          <w:fldChar w:fldCharType="end"/>
        </w:r>
      </w:hyperlink>
    </w:p>
    <w:p w:rsidR="00275E65" w:rsidRDefault="00902217">
      <w:pPr>
        <w:pStyle w:val="11"/>
        <w:tabs>
          <w:tab w:val="left" w:pos="1540"/>
          <w:tab w:val="right" w:leader="hyphen" w:pos="9345"/>
        </w:tabs>
        <w:rPr>
          <w:rFonts w:eastAsiaTheme="minorEastAsia"/>
          <w:lang w:val="uk-UA" w:eastAsia="uk-UA"/>
        </w:rPr>
      </w:pPr>
      <w:hyperlink w:anchor="_Toc168064843" w:tooltip="#_Toc168064843" w:history="1">
        <w:r>
          <w:rPr>
            <w:rStyle w:val="af3"/>
            <w:rFonts w:ascii="Times New Roman" w:eastAsiaTheme="minorEastAsia" w:hAnsi="Times New Roman" w:cstheme="minorHAnsi"/>
          </w:rPr>
          <w:t>Таблиця. 10.</w:t>
        </w:r>
        <w:r>
          <w:rPr>
            <w:rFonts w:eastAsiaTheme="minorEastAsia" w:cstheme="minorHAnsi"/>
            <w:lang w:val="uk-UA" w:eastAsia="uk-UA"/>
          </w:rPr>
          <w:tab/>
        </w:r>
        <w:r>
          <w:rPr>
            <w:rStyle w:val="af3"/>
            <w:rFonts w:ascii="Times New Roman" w:eastAsiaTheme="minorEastAsia" w:hAnsi="Times New Roman" w:cstheme="minorHAnsi"/>
          </w:rPr>
          <w:t>Структура громадських будівель бюджетних установ, що фінансуються</w:t>
        </w:r>
        <w:r>
          <w:rPr>
            <w:rStyle w:val="af3"/>
            <w:rFonts w:ascii="Times New Roman" w:eastAsiaTheme="minorEastAsia" w:hAnsi="Times New Roman" w:cstheme="minorHAnsi"/>
          </w:rPr>
          <w:t xml:space="preserve"> з місцевого бюджету</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_Toc168064843 \h </w:instrText>
        </w:r>
        <w:r>
          <w:rPr>
            <w:rFonts w:eastAsiaTheme="minorEastAsia" w:cstheme="minorHAnsi"/>
          </w:rPr>
        </w:r>
        <w:r>
          <w:rPr>
            <w:rFonts w:eastAsiaTheme="minorEastAsia" w:cstheme="minorHAnsi"/>
          </w:rPr>
          <w:fldChar w:fldCharType="separate"/>
        </w:r>
        <w:r>
          <w:rPr>
            <w:rFonts w:eastAsiaTheme="minorEastAsia" w:cstheme="minorHAnsi"/>
          </w:rPr>
          <w:t>38</w:t>
        </w:r>
        <w:r>
          <w:rPr>
            <w:rFonts w:eastAsiaTheme="minorEastAsia" w:cstheme="minorHAnsi"/>
          </w:rPr>
          <w:fldChar w:fldCharType="end"/>
        </w:r>
      </w:hyperlink>
    </w:p>
    <w:p w:rsidR="00275E65" w:rsidRDefault="00902217">
      <w:pPr>
        <w:pStyle w:val="11"/>
        <w:tabs>
          <w:tab w:val="left" w:pos="1540"/>
          <w:tab w:val="right" w:leader="hyphen" w:pos="9345"/>
        </w:tabs>
        <w:rPr>
          <w:rFonts w:eastAsiaTheme="minorEastAsia"/>
          <w:lang w:val="uk-UA" w:eastAsia="uk-UA"/>
        </w:rPr>
      </w:pPr>
      <w:hyperlink w:anchor="_Toc168064844" w:tooltip="#_Toc168064844" w:history="1">
        <w:r>
          <w:rPr>
            <w:rStyle w:val="af3"/>
            <w:rFonts w:ascii="Times New Roman" w:eastAsiaTheme="minorEastAsia" w:hAnsi="Times New Roman" w:cstheme="minorHAnsi"/>
          </w:rPr>
          <w:t>Таблиця. 11.</w:t>
        </w:r>
        <w:r>
          <w:rPr>
            <w:rFonts w:eastAsiaTheme="minorEastAsia" w:cstheme="minorHAnsi"/>
            <w:lang w:val="uk-UA" w:eastAsia="uk-UA"/>
          </w:rPr>
          <w:tab/>
        </w:r>
        <w:r>
          <w:rPr>
            <w:rStyle w:val="af3"/>
            <w:rFonts w:ascii="Times New Roman" w:eastAsiaTheme="minorEastAsia" w:hAnsi="Times New Roman" w:cstheme="minorHAnsi"/>
          </w:rPr>
          <w:t>Питоме розрахункове енергоспоживання при опаленні та охолодженні будівель бюджетних установ, що фінансуються з місцевого бюдж</w:t>
        </w:r>
        <w:r>
          <w:rPr>
            <w:rStyle w:val="af3"/>
            <w:rFonts w:ascii="Times New Roman" w:eastAsiaTheme="minorEastAsia" w:hAnsi="Times New Roman" w:cstheme="minorHAnsi"/>
          </w:rPr>
          <w:t>ету.</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_Toc168064844 \h </w:instrText>
        </w:r>
        <w:r>
          <w:rPr>
            <w:rFonts w:eastAsiaTheme="minorEastAsia" w:cstheme="minorHAnsi"/>
          </w:rPr>
        </w:r>
        <w:r>
          <w:rPr>
            <w:rFonts w:eastAsiaTheme="minorEastAsia" w:cstheme="minorHAnsi"/>
          </w:rPr>
          <w:fldChar w:fldCharType="separate"/>
        </w:r>
        <w:r>
          <w:rPr>
            <w:rFonts w:eastAsiaTheme="minorEastAsia" w:cstheme="minorHAnsi"/>
          </w:rPr>
          <w:t>39</w:t>
        </w:r>
        <w:r>
          <w:rPr>
            <w:rFonts w:eastAsiaTheme="minorEastAsia" w:cstheme="minorHAnsi"/>
          </w:rPr>
          <w:fldChar w:fldCharType="end"/>
        </w:r>
      </w:hyperlink>
    </w:p>
    <w:p w:rsidR="00275E65" w:rsidRDefault="00902217">
      <w:pPr>
        <w:pStyle w:val="11"/>
        <w:tabs>
          <w:tab w:val="left" w:pos="1540"/>
          <w:tab w:val="right" w:leader="hyphen" w:pos="9345"/>
        </w:tabs>
        <w:rPr>
          <w:rFonts w:eastAsiaTheme="minorEastAsia"/>
          <w:lang w:val="uk-UA" w:eastAsia="uk-UA"/>
        </w:rPr>
      </w:pPr>
      <w:hyperlink w:anchor="_Toc168064845" w:tooltip="#_Toc168064845" w:history="1">
        <w:r>
          <w:rPr>
            <w:rStyle w:val="af3"/>
            <w:rFonts w:ascii="Times New Roman" w:eastAsiaTheme="minorEastAsia" w:hAnsi="Times New Roman" w:cstheme="minorHAnsi"/>
          </w:rPr>
          <w:t>Таблиця. 12.</w:t>
        </w:r>
        <w:r>
          <w:rPr>
            <w:rFonts w:eastAsiaTheme="minorEastAsia" w:cstheme="minorHAnsi"/>
            <w:lang w:val="uk-UA" w:eastAsia="uk-UA"/>
          </w:rPr>
          <w:tab/>
        </w:r>
        <w:r>
          <w:rPr>
            <w:rStyle w:val="af3"/>
            <w:rFonts w:ascii="Times New Roman" w:eastAsiaTheme="minorEastAsia" w:hAnsi="Times New Roman" w:cstheme="minorHAnsi"/>
          </w:rPr>
          <w:t>Питоме фактичне енергоспоживання при опаленні будівель бюджетних установ, що фінансуються</w:t>
        </w:r>
        <w:r>
          <w:rPr>
            <w:rStyle w:val="af3"/>
            <w:rFonts w:ascii="Times New Roman" w:eastAsiaTheme="minorEastAsia" w:hAnsi="Times New Roman" w:cstheme="minorHAnsi"/>
          </w:rPr>
          <w:t xml:space="preserve"> з місцевого бюджету.</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_Toc168064845 \h </w:instrText>
        </w:r>
        <w:r>
          <w:rPr>
            <w:rFonts w:eastAsiaTheme="minorEastAsia" w:cstheme="minorHAnsi"/>
          </w:rPr>
        </w:r>
        <w:r>
          <w:rPr>
            <w:rFonts w:eastAsiaTheme="minorEastAsia" w:cstheme="minorHAnsi"/>
          </w:rPr>
          <w:fldChar w:fldCharType="separate"/>
        </w:r>
        <w:r>
          <w:rPr>
            <w:rFonts w:eastAsiaTheme="minorEastAsia" w:cstheme="minorHAnsi"/>
          </w:rPr>
          <w:t>40</w:t>
        </w:r>
        <w:r>
          <w:rPr>
            <w:rFonts w:eastAsiaTheme="minorEastAsia" w:cstheme="minorHAnsi"/>
          </w:rPr>
          <w:fldChar w:fldCharType="end"/>
        </w:r>
      </w:hyperlink>
    </w:p>
    <w:p w:rsidR="00275E65" w:rsidRDefault="00902217">
      <w:pPr>
        <w:pStyle w:val="11"/>
        <w:tabs>
          <w:tab w:val="left" w:pos="1540"/>
          <w:tab w:val="right" w:leader="hyphen" w:pos="9345"/>
        </w:tabs>
        <w:rPr>
          <w:rFonts w:eastAsiaTheme="minorEastAsia"/>
          <w:lang w:val="uk-UA" w:eastAsia="uk-UA"/>
        </w:rPr>
      </w:pPr>
      <w:hyperlink w:anchor="_Toc168064846" w:tooltip="#_Toc168064846" w:history="1">
        <w:r>
          <w:rPr>
            <w:rStyle w:val="af3"/>
            <w:rFonts w:ascii="Times New Roman" w:eastAsiaTheme="minorEastAsia" w:hAnsi="Times New Roman" w:cstheme="minorHAnsi"/>
          </w:rPr>
          <w:t>Таблиця. 13.</w:t>
        </w:r>
        <w:r>
          <w:rPr>
            <w:rFonts w:eastAsiaTheme="minorEastAsia" w:cstheme="minorHAnsi"/>
            <w:lang w:val="uk-UA" w:eastAsia="uk-UA"/>
          </w:rPr>
          <w:tab/>
        </w:r>
        <w:r>
          <w:rPr>
            <w:rStyle w:val="af3"/>
            <w:rFonts w:ascii="Times New Roman" w:eastAsiaTheme="minorEastAsia" w:hAnsi="Times New Roman" w:cstheme="minorHAnsi"/>
          </w:rPr>
          <w:t>Питоме фактичне електроспоживання при опаленні будівель бюджетних устан</w:t>
        </w:r>
        <w:r>
          <w:rPr>
            <w:rStyle w:val="af3"/>
            <w:rFonts w:ascii="Times New Roman" w:eastAsiaTheme="minorEastAsia" w:hAnsi="Times New Roman" w:cstheme="minorHAnsi"/>
          </w:rPr>
          <w:t>ов, що фінансуються з місцевого бюджету.</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_Toc168064846 \h </w:instrText>
        </w:r>
        <w:r>
          <w:rPr>
            <w:rFonts w:eastAsiaTheme="minorEastAsia" w:cstheme="minorHAnsi"/>
          </w:rPr>
        </w:r>
        <w:r>
          <w:rPr>
            <w:rFonts w:eastAsiaTheme="minorEastAsia" w:cstheme="minorHAnsi"/>
          </w:rPr>
          <w:fldChar w:fldCharType="separate"/>
        </w:r>
        <w:r>
          <w:rPr>
            <w:rFonts w:eastAsiaTheme="minorEastAsia" w:cstheme="minorHAnsi"/>
          </w:rPr>
          <w:t>40</w:t>
        </w:r>
        <w:r>
          <w:rPr>
            <w:rFonts w:eastAsiaTheme="minorEastAsia" w:cstheme="minorHAnsi"/>
          </w:rPr>
          <w:fldChar w:fldCharType="end"/>
        </w:r>
      </w:hyperlink>
    </w:p>
    <w:p w:rsidR="00275E65" w:rsidRDefault="00902217">
      <w:pPr>
        <w:pStyle w:val="11"/>
        <w:tabs>
          <w:tab w:val="left" w:pos="1540"/>
          <w:tab w:val="right" w:leader="hyphen" w:pos="9345"/>
        </w:tabs>
        <w:rPr>
          <w:rFonts w:eastAsiaTheme="minorEastAsia"/>
          <w:lang w:val="uk-UA" w:eastAsia="uk-UA"/>
        </w:rPr>
      </w:pPr>
      <w:hyperlink w:anchor="_Toc168064847" w:tooltip="#_Toc168064847" w:history="1">
        <w:r>
          <w:rPr>
            <w:rStyle w:val="af3"/>
            <w:rFonts w:ascii="Times New Roman" w:eastAsiaTheme="minorEastAsia" w:hAnsi="Times New Roman" w:cstheme="minorHAnsi"/>
          </w:rPr>
          <w:t>Таблиця. 14.</w:t>
        </w:r>
        <w:r>
          <w:rPr>
            <w:rFonts w:eastAsiaTheme="minorEastAsia" w:cstheme="minorHAnsi"/>
            <w:lang w:val="uk-UA" w:eastAsia="uk-UA"/>
          </w:rPr>
          <w:tab/>
        </w:r>
        <w:r>
          <w:rPr>
            <w:rStyle w:val="af3"/>
            <w:rFonts w:ascii="Times New Roman" w:eastAsiaTheme="minorEastAsia" w:hAnsi="Times New Roman" w:cstheme="minorHAnsi"/>
          </w:rPr>
          <w:t>Адреси будівель, по яким виконувався перерахунок факт</w:t>
        </w:r>
        <w:r>
          <w:rPr>
            <w:rStyle w:val="af3"/>
            <w:rFonts w:ascii="Times New Roman" w:eastAsiaTheme="minorEastAsia" w:hAnsi="Times New Roman" w:cstheme="minorHAnsi"/>
          </w:rPr>
          <w:t>ичного енергоспоживання</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_Toc168064847 \h </w:instrText>
        </w:r>
        <w:r>
          <w:rPr>
            <w:rFonts w:eastAsiaTheme="minorEastAsia" w:cstheme="minorHAnsi"/>
          </w:rPr>
        </w:r>
        <w:r>
          <w:rPr>
            <w:rFonts w:eastAsiaTheme="minorEastAsia" w:cstheme="minorHAnsi"/>
          </w:rPr>
          <w:fldChar w:fldCharType="separate"/>
        </w:r>
        <w:r>
          <w:rPr>
            <w:rFonts w:eastAsiaTheme="minorEastAsia" w:cstheme="minorHAnsi"/>
          </w:rPr>
          <w:t>42</w:t>
        </w:r>
        <w:r>
          <w:rPr>
            <w:rFonts w:eastAsiaTheme="minorEastAsia" w:cstheme="minorHAnsi"/>
          </w:rPr>
          <w:fldChar w:fldCharType="end"/>
        </w:r>
      </w:hyperlink>
    </w:p>
    <w:p w:rsidR="00275E65" w:rsidRDefault="00902217">
      <w:pPr>
        <w:pStyle w:val="11"/>
        <w:tabs>
          <w:tab w:val="left" w:pos="1540"/>
          <w:tab w:val="right" w:leader="hyphen" w:pos="9345"/>
        </w:tabs>
        <w:rPr>
          <w:rFonts w:eastAsiaTheme="minorEastAsia"/>
          <w:lang w:val="uk-UA" w:eastAsia="uk-UA"/>
        </w:rPr>
      </w:pPr>
      <w:hyperlink w:anchor="_Toc168064848" w:tooltip="#_Toc168064848" w:history="1">
        <w:r>
          <w:rPr>
            <w:rStyle w:val="af3"/>
            <w:rFonts w:ascii="Times New Roman" w:eastAsiaTheme="minorEastAsia" w:hAnsi="Times New Roman" w:cstheme="minorHAnsi"/>
          </w:rPr>
          <w:t>Таблиця. 15.</w:t>
        </w:r>
        <w:r>
          <w:rPr>
            <w:rFonts w:eastAsiaTheme="minorEastAsia" w:cstheme="minorHAnsi"/>
            <w:lang w:val="uk-UA" w:eastAsia="uk-UA"/>
          </w:rPr>
          <w:tab/>
        </w:r>
        <w:r>
          <w:rPr>
            <w:rStyle w:val="af3"/>
            <w:rFonts w:ascii="Times New Roman" w:eastAsiaTheme="minorEastAsia" w:hAnsi="Times New Roman" w:cstheme="minorHAnsi"/>
          </w:rPr>
          <w:t>Аналіз впливу ОМС на сектори  енергетичного планування</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w:instrText>
        </w:r>
        <w:r>
          <w:rPr>
            <w:rFonts w:eastAsiaTheme="minorEastAsia" w:cstheme="minorHAnsi"/>
          </w:rPr>
          <w:instrText xml:space="preserve">68064848 \h </w:instrText>
        </w:r>
        <w:r>
          <w:rPr>
            <w:rFonts w:eastAsiaTheme="minorEastAsia" w:cstheme="minorHAnsi"/>
          </w:rPr>
        </w:r>
        <w:r>
          <w:rPr>
            <w:rFonts w:eastAsiaTheme="minorEastAsia" w:cstheme="minorHAnsi"/>
          </w:rPr>
          <w:fldChar w:fldCharType="separate"/>
        </w:r>
        <w:r>
          <w:rPr>
            <w:rFonts w:eastAsiaTheme="minorEastAsia" w:cstheme="minorHAnsi"/>
          </w:rPr>
          <w:t>47</w:t>
        </w:r>
        <w:r>
          <w:rPr>
            <w:rFonts w:eastAsiaTheme="minorEastAsia" w:cstheme="minorHAnsi"/>
          </w:rPr>
          <w:fldChar w:fldCharType="end"/>
        </w:r>
      </w:hyperlink>
    </w:p>
    <w:p w:rsidR="00275E65" w:rsidRDefault="00902217">
      <w:pPr>
        <w:pStyle w:val="Arord"/>
        <w:tabs>
          <w:tab w:val="left" w:pos="709"/>
        </w:tabs>
        <w:spacing w:after="0" w:line="276" w:lineRule="auto"/>
        <w:rPr>
          <w:rFonts w:ascii="Times New Roman" w:hAnsi="Times New Roman" w:cs="Times New Roman"/>
          <w:sz w:val="22"/>
        </w:rPr>
      </w:pPr>
      <w:r>
        <w:rPr>
          <w:rFonts w:ascii="Times New Roman" w:eastAsiaTheme="minorEastAsia" w:hAnsi="Times New Roman" w:cstheme="minorHAnsi"/>
          <w:sz w:val="22"/>
        </w:rPr>
        <w:fldChar w:fldCharType="end"/>
      </w:r>
    </w:p>
    <w:p w:rsidR="00275E65" w:rsidRDefault="00902217">
      <w:pPr>
        <w:tabs>
          <w:tab w:val="left" w:pos="709"/>
        </w:tabs>
        <w:spacing w:after="0" w:line="276" w:lineRule="auto"/>
        <w:ind w:firstLine="567"/>
        <w:rPr>
          <w:rFonts w:ascii="Times New Roman" w:hAnsi="Times New Roman" w:cs="Times New Roman"/>
          <w:lang w:val="uk-UA"/>
        </w:rPr>
      </w:pPr>
      <w:r>
        <w:rPr>
          <w:rFonts w:ascii="Times New Roman" w:eastAsiaTheme="minorEastAsia" w:hAnsi="Times New Roman" w:cstheme="minorHAnsi"/>
          <w:lang w:val="uk-UA"/>
        </w:rPr>
        <w:br w:type="page"/>
      </w:r>
    </w:p>
    <w:p w:rsidR="00275E65" w:rsidRDefault="00902217">
      <w:pPr>
        <w:pStyle w:val="Arord"/>
        <w:tabs>
          <w:tab w:val="left" w:pos="709"/>
        </w:tabs>
        <w:spacing w:after="0" w:line="276" w:lineRule="auto"/>
        <w:rPr>
          <w:rFonts w:ascii="Times New Roman" w:hAnsi="Times New Roman" w:cs="Times New Roman"/>
          <w:b/>
          <w:bCs/>
          <w:i/>
          <w:iCs/>
          <w:sz w:val="22"/>
        </w:rPr>
      </w:pPr>
      <w:r>
        <w:rPr>
          <w:rFonts w:ascii="Times New Roman" w:eastAsiaTheme="minorEastAsia" w:hAnsi="Times New Roman" w:cstheme="minorHAnsi"/>
          <w:b/>
          <w:bCs/>
          <w:i/>
          <w:iCs/>
          <w:sz w:val="22"/>
        </w:rPr>
        <w:lastRenderedPageBreak/>
        <w:t>Перелік малюнків</w:t>
      </w:r>
    </w:p>
    <w:p w:rsidR="00275E65" w:rsidRDefault="00902217">
      <w:pPr>
        <w:pStyle w:val="11"/>
        <w:tabs>
          <w:tab w:val="left" w:pos="880"/>
          <w:tab w:val="right" w:leader="hyphen" w:pos="9345"/>
        </w:tabs>
        <w:rPr>
          <w:rFonts w:eastAsiaTheme="minorEastAsia"/>
          <w:lang w:val="uk-UA" w:eastAsia="uk-UA"/>
        </w:rPr>
      </w:pPr>
      <w:r>
        <w:rPr>
          <w:rFonts w:ascii="Times New Roman" w:eastAsiaTheme="minorEastAsia" w:hAnsi="Times New Roman" w:cstheme="minorHAnsi"/>
        </w:rPr>
        <w:fldChar w:fldCharType="begin"/>
      </w:r>
      <w:r>
        <w:rPr>
          <w:rFonts w:ascii="Times New Roman" w:eastAsiaTheme="minorEastAsia" w:hAnsi="Times New Roman" w:cstheme="minorHAnsi"/>
        </w:rPr>
        <w:instrText xml:space="preserve"> TOC \h \z \t "Ar_Pic;1" </w:instrText>
      </w:r>
      <w:r>
        <w:rPr>
          <w:rFonts w:ascii="Times New Roman" w:eastAsiaTheme="minorEastAsia" w:hAnsi="Times New Roman" w:cstheme="minorHAnsi"/>
        </w:rPr>
        <w:fldChar w:fldCharType="separate"/>
      </w:r>
      <w:hyperlink w:anchor="_Toc168064849" w:tooltip="#_Toc168064849" w:history="1">
        <w:r>
          <w:rPr>
            <w:rStyle w:val="af3"/>
            <w:rFonts w:ascii="Times New Roman" w:eastAsiaTheme="minorEastAsia" w:hAnsi="Times New Roman" w:cstheme="minorHAnsi"/>
          </w:rPr>
          <w:t>Рис. 1.</w:t>
        </w:r>
        <w:r>
          <w:rPr>
            <w:rFonts w:eastAsiaTheme="minorEastAsia" w:cstheme="minorHAnsi"/>
            <w:lang w:val="uk-UA" w:eastAsia="uk-UA"/>
          </w:rPr>
          <w:tab/>
        </w:r>
        <w:r>
          <w:rPr>
            <w:rStyle w:val="af3"/>
            <w:rFonts w:ascii="Times New Roman" w:eastAsiaTheme="minorEastAsia" w:hAnsi="Times New Roman" w:cstheme="minorHAnsi"/>
          </w:rPr>
          <w:t>Річний енергетичний баланс у формі діаграми Сенкі для Носівської громади. Базовий рік – 2022. Одиниці виміру – МВт*год.</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_Toc168064849 \h </w:instrText>
        </w:r>
        <w:r>
          <w:rPr>
            <w:rFonts w:eastAsiaTheme="minorEastAsia" w:cstheme="minorHAnsi"/>
          </w:rPr>
        </w:r>
        <w:r>
          <w:rPr>
            <w:rFonts w:eastAsiaTheme="minorEastAsia" w:cstheme="minorHAnsi"/>
          </w:rPr>
          <w:fldChar w:fldCharType="separate"/>
        </w:r>
        <w:r>
          <w:rPr>
            <w:rFonts w:eastAsiaTheme="minorEastAsia" w:cstheme="minorHAnsi"/>
          </w:rPr>
          <w:t>13</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50" w:tooltip="#_Toc168064850" w:history="1">
        <w:r>
          <w:rPr>
            <w:rStyle w:val="af3"/>
            <w:rFonts w:ascii="Times New Roman" w:eastAsiaTheme="minorEastAsia" w:hAnsi="Times New Roman" w:cstheme="minorHAnsi"/>
          </w:rPr>
          <w:t>Рис. 2.</w:t>
        </w:r>
        <w:r>
          <w:rPr>
            <w:rFonts w:eastAsiaTheme="minorEastAsia" w:cstheme="minorHAnsi"/>
            <w:lang w:val="uk-UA" w:eastAsia="uk-UA"/>
          </w:rPr>
          <w:tab/>
        </w:r>
        <w:r>
          <w:rPr>
            <w:rStyle w:val="af3"/>
            <w:rFonts w:ascii="Times New Roman" w:eastAsiaTheme="minorEastAsia" w:hAnsi="Times New Roman" w:cstheme="minorHAnsi"/>
          </w:rPr>
          <w:t>Споживання електроенергії системою вуличного освітлення.</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_Toc168064850 \h </w:instrText>
        </w:r>
        <w:r>
          <w:rPr>
            <w:rFonts w:eastAsiaTheme="minorEastAsia" w:cstheme="minorHAnsi"/>
          </w:rPr>
        </w:r>
        <w:r>
          <w:rPr>
            <w:rFonts w:eastAsiaTheme="minorEastAsia" w:cstheme="minorHAnsi"/>
          </w:rPr>
          <w:fldChar w:fldCharType="separate"/>
        </w:r>
        <w:r>
          <w:rPr>
            <w:rFonts w:eastAsiaTheme="minorEastAsia" w:cstheme="minorHAnsi"/>
          </w:rPr>
          <w:t>14</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51" w:tooltip="#_Toc168064851" w:history="1">
        <w:r>
          <w:rPr>
            <w:rStyle w:val="af3"/>
            <w:rFonts w:ascii="Times New Roman" w:eastAsiaTheme="minorEastAsia" w:hAnsi="Times New Roman" w:cstheme="minorHAnsi"/>
          </w:rPr>
          <w:t>Рис. 3.</w:t>
        </w:r>
        <w:r>
          <w:rPr>
            <w:rFonts w:eastAsiaTheme="minorEastAsia" w:cstheme="minorHAnsi"/>
            <w:lang w:val="uk-UA" w:eastAsia="uk-UA"/>
          </w:rPr>
          <w:tab/>
        </w:r>
        <w:r>
          <w:rPr>
            <w:rStyle w:val="af3"/>
            <w:rFonts w:ascii="Times New Roman" w:eastAsiaTheme="minorEastAsia" w:hAnsi="Times New Roman" w:cstheme="minorHAnsi"/>
          </w:rPr>
          <w:t>Споживання теплової енергії, що продукується локальними котельнями.</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_Toc168064851 \h </w:instrText>
        </w:r>
        <w:r>
          <w:rPr>
            <w:rFonts w:eastAsiaTheme="minorEastAsia" w:cstheme="minorHAnsi"/>
          </w:rPr>
        </w:r>
        <w:r>
          <w:rPr>
            <w:rFonts w:eastAsiaTheme="minorEastAsia" w:cstheme="minorHAnsi"/>
          </w:rPr>
          <w:fldChar w:fldCharType="separate"/>
        </w:r>
        <w:r>
          <w:rPr>
            <w:rFonts w:eastAsiaTheme="minorEastAsia" w:cstheme="minorHAnsi"/>
          </w:rPr>
          <w:t>14</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52" w:tooltip="#_Toc168064852" w:history="1">
        <w:r>
          <w:rPr>
            <w:rStyle w:val="af3"/>
            <w:rFonts w:ascii="Times New Roman" w:eastAsiaTheme="minorEastAsia" w:hAnsi="Times New Roman" w:cstheme="minorHAnsi"/>
          </w:rPr>
          <w:t>Рис. 4.</w:t>
        </w:r>
        <w:r>
          <w:rPr>
            <w:rFonts w:eastAsiaTheme="minorEastAsia" w:cstheme="minorHAnsi"/>
            <w:lang w:val="uk-UA" w:eastAsia="uk-UA"/>
          </w:rPr>
          <w:tab/>
        </w:r>
        <w:r>
          <w:rPr>
            <w:rStyle w:val="af3"/>
            <w:rFonts w:ascii="Times New Roman" w:eastAsiaTheme="minorEastAsia" w:hAnsi="Times New Roman" w:cstheme="minorHAnsi"/>
          </w:rPr>
          <w:t>Споживання електроенергії локальними котельнями, що здійснюють теплопостачання.</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_Toc168064852 \h </w:instrText>
        </w:r>
        <w:r>
          <w:rPr>
            <w:rFonts w:eastAsiaTheme="minorEastAsia" w:cstheme="minorHAnsi"/>
          </w:rPr>
        </w:r>
        <w:r>
          <w:rPr>
            <w:rFonts w:eastAsiaTheme="minorEastAsia" w:cstheme="minorHAnsi"/>
          </w:rPr>
          <w:fldChar w:fldCharType="separate"/>
        </w:r>
        <w:r>
          <w:rPr>
            <w:rFonts w:eastAsiaTheme="minorEastAsia" w:cstheme="minorHAnsi"/>
          </w:rPr>
          <w:t>15</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53" w:tooltip="#_Toc168064853" w:history="1">
        <w:r>
          <w:rPr>
            <w:rStyle w:val="af3"/>
            <w:rFonts w:ascii="Times New Roman" w:eastAsiaTheme="minorEastAsia" w:hAnsi="Times New Roman" w:cstheme="minorHAnsi"/>
          </w:rPr>
          <w:t>Рис. 5.</w:t>
        </w:r>
        <w:r>
          <w:rPr>
            <w:rFonts w:eastAsiaTheme="minorEastAsia" w:cstheme="minorHAnsi"/>
            <w:lang w:val="uk-UA" w:eastAsia="uk-UA"/>
          </w:rPr>
          <w:tab/>
        </w:r>
        <w:r>
          <w:rPr>
            <w:rStyle w:val="af3"/>
            <w:rFonts w:ascii="Times New Roman" w:eastAsiaTheme="minorEastAsia" w:hAnsi="Times New Roman" w:cstheme="minorHAnsi"/>
          </w:rPr>
          <w:t>Загальні витрати громади в розрізі секторів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_Toc168064853 \h </w:instrText>
        </w:r>
        <w:r>
          <w:rPr>
            <w:rFonts w:eastAsiaTheme="minorEastAsia" w:cstheme="minorHAnsi"/>
          </w:rPr>
        </w:r>
        <w:r>
          <w:rPr>
            <w:rFonts w:eastAsiaTheme="minorEastAsia" w:cstheme="minorHAnsi"/>
          </w:rPr>
          <w:fldChar w:fldCharType="separate"/>
        </w:r>
        <w:r>
          <w:rPr>
            <w:rFonts w:eastAsiaTheme="minorEastAsia" w:cstheme="minorHAnsi"/>
          </w:rPr>
          <w:t>15</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54" w:tooltip="#_Toc168064854" w:history="1">
        <w:r>
          <w:rPr>
            <w:rStyle w:val="af3"/>
            <w:rFonts w:ascii="Times New Roman" w:eastAsiaTheme="minorEastAsia" w:hAnsi="Times New Roman" w:cstheme="minorHAnsi"/>
          </w:rPr>
          <w:t>Рис. 6.</w:t>
        </w:r>
        <w:r>
          <w:rPr>
            <w:rFonts w:eastAsiaTheme="minorEastAsia" w:cstheme="minorHAnsi"/>
            <w:lang w:val="uk-UA" w:eastAsia="uk-UA"/>
          </w:rPr>
          <w:tab/>
        </w:r>
        <w:r>
          <w:rPr>
            <w:rStyle w:val="af3"/>
            <w:rFonts w:ascii="Times New Roman" w:eastAsiaTheme="minorEastAsia" w:hAnsi="Times New Roman" w:cstheme="minorHAnsi"/>
          </w:rPr>
          <w:t>Загальні витрати громади по секторах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_Toc168064854 \h </w:instrText>
        </w:r>
        <w:r>
          <w:rPr>
            <w:rFonts w:eastAsiaTheme="minorEastAsia" w:cstheme="minorHAnsi"/>
          </w:rPr>
        </w:r>
        <w:r>
          <w:rPr>
            <w:rFonts w:eastAsiaTheme="minorEastAsia" w:cstheme="minorHAnsi"/>
          </w:rPr>
          <w:fldChar w:fldCharType="separate"/>
        </w:r>
        <w:r>
          <w:rPr>
            <w:rFonts w:eastAsiaTheme="minorEastAsia" w:cstheme="minorHAnsi"/>
          </w:rPr>
          <w:t>16</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55" w:tooltip="#_Toc168064855" w:history="1">
        <w:r>
          <w:rPr>
            <w:rStyle w:val="af3"/>
            <w:rFonts w:ascii="Times New Roman" w:eastAsiaTheme="minorEastAsia" w:hAnsi="Times New Roman" w:cstheme="minorHAnsi"/>
          </w:rPr>
          <w:t>Рис. 7.</w:t>
        </w:r>
        <w:r>
          <w:rPr>
            <w:rFonts w:eastAsiaTheme="minorEastAsia" w:cstheme="minorHAnsi"/>
            <w:lang w:val="uk-UA" w:eastAsia="uk-UA"/>
          </w:rPr>
          <w:tab/>
        </w:r>
        <w:r>
          <w:rPr>
            <w:rStyle w:val="af3"/>
            <w:rFonts w:ascii="Times New Roman" w:eastAsiaTheme="minorEastAsia" w:hAnsi="Times New Roman" w:cstheme="minorHAnsi"/>
          </w:rPr>
          <w:t>За</w:t>
        </w:r>
        <w:r>
          <w:rPr>
            <w:rStyle w:val="af3"/>
            <w:rFonts w:ascii="Times New Roman" w:eastAsiaTheme="minorEastAsia" w:hAnsi="Times New Roman" w:cstheme="minorHAnsi"/>
          </w:rPr>
          <w:t>гальні витрати громади  по видах ресурсів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_Toc168064855 \h </w:instrText>
        </w:r>
        <w:r>
          <w:rPr>
            <w:rFonts w:eastAsiaTheme="minorEastAsia" w:cstheme="minorHAnsi"/>
          </w:rPr>
        </w:r>
        <w:r>
          <w:rPr>
            <w:rFonts w:eastAsiaTheme="minorEastAsia" w:cstheme="minorHAnsi"/>
          </w:rPr>
          <w:fldChar w:fldCharType="separate"/>
        </w:r>
        <w:r>
          <w:rPr>
            <w:rFonts w:eastAsiaTheme="minorEastAsia" w:cstheme="minorHAnsi"/>
          </w:rPr>
          <w:t>16</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56" w:tooltip="#_Toc168064856" w:history="1">
        <w:r>
          <w:rPr>
            <w:rStyle w:val="af3"/>
            <w:rFonts w:ascii="Times New Roman" w:eastAsiaTheme="minorEastAsia" w:hAnsi="Times New Roman" w:cstheme="minorHAnsi"/>
          </w:rPr>
          <w:t>Рис. 8.</w:t>
        </w:r>
        <w:r>
          <w:rPr>
            <w:rFonts w:eastAsiaTheme="minorEastAsia" w:cstheme="minorHAnsi"/>
            <w:lang w:val="uk-UA" w:eastAsia="uk-UA"/>
          </w:rPr>
          <w:tab/>
        </w:r>
        <w:r>
          <w:rPr>
            <w:rStyle w:val="af3"/>
            <w:rFonts w:ascii="Times New Roman" w:eastAsiaTheme="minorEastAsia" w:hAnsi="Times New Roman" w:cstheme="minorHAnsi"/>
          </w:rPr>
          <w:t>Загальні витрати громади  по видах ресурсів</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_Toc168064856 \h </w:instrText>
        </w:r>
        <w:r>
          <w:rPr>
            <w:rFonts w:eastAsiaTheme="minorEastAsia" w:cstheme="minorHAnsi"/>
          </w:rPr>
        </w:r>
        <w:r>
          <w:rPr>
            <w:rFonts w:eastAsiaTheme="minorEastAsia" w:cstheme="minorHAnsi"/>
          </w:rPr>
          <w:fldChar w:fldCharType="separate"/>
        </w:r>
        <w:r>
          <w:rPr>
            <w:rFonts w:eastAsiaTheme="minorEastAsia" w:cstheme="minorHAnsi"/>
          </w:rPr>
          <w:t>17</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57" w:tooltip="#_Toc168064857" w:history="1">
        <w:r>
          <w:rPr>
            <w:rStyle w:val="af3"/>
            <w:rFonts w:ascii="Times New Roman" w:eastAsiaTheme="minorEastAsia" w:hAnsi="Times New Roman" w:cstheme="minorHAnsi"/>
          </w:rPr>
          <w:t>Рис. 9.</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громадські будівлі по типам закладів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_Toc168064857 \h</w:instrText>
        </w:r>
        <w:r>
          <w:rPr>
            <w:rFonts w:eastAsiaTheme="minorEastAsia" w:cstheme="minorHAnsi"/>
          </w:rPr>
          <w:instrText xml:space="preserve"> </w:instrText>
        </w:r>
        <w:r>
          <w:rPr>
            <w:rFonts w:eastAsiaTheme="minorEastAsia" w:cstheme="minorHAnsi"/>
          </w:rPr>
        </w:r>
        <w:r>
          <w:rPr>
            <w:rFonts w:eastAsiaTheme="minorEastAsia" w:cstheme="minorHAnsi"/>
          </w:rPr>
          <w:fldChar w:fldCharType="separate"/>
        </w:r>
        <w:r>
          <w:rPr>
            <w:rFonts w:eastAsiaTheme="minorEastAsia" w:cstheme="minorHAnsi"/>
          </w:rPr>
          <w:t>17</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58" w:tooltip="#_Toc168064858" w:history="1">
        <w:r>
          <w:rPr>
            <w:rStyle w:val="af3"/>
            <w:rFonts w:ascii="Times New Roman" w:eastAsiaTheme="minorEastAsia" w:hAnsi="Times New Roman" w:cstheme="minorHAnsi"/>
          </w:rPr>
          <w:t>Рис. 10.</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громадські будівлі по типам закладів</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_Toc168064858 \h </w:instrText>
        </w:r>
        <w:r>
          <w:rPr>
            <w:rFonts w:eastAsiaTheme="minorEastAsia" w:cstheme="minorHAnsi"/>
          </w:rPr>
        </w:r>
        <w:r>
          <w:rPr>
            <w:rFonts w:eastAsiaTheme="minorEastAsia" w:cstheme="minorHAnsi"/>
          </w:rPr>
          <w:fldChar w:fldCharType="separate"/>
        </w:r>
        <w:r>
          <w:rPr>
            <w:rFonts w:eastAsiaTheme="minorEastAsia" w:cstheme="minorHAnsi"/>
          </w:rPr>
          <w:t>18</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59" w:tooltip="#_Toc168064859" w:history="1">
        <w:r>
          <w:rPr>
            <w:rStyle w:val="af3"/>
            <w:rFonts w:ascii="Times New Roman" w:eastAsiaTheme="minorEastAsia" w:hAnsi="Times New Roman" w:cstheme="minorHAnsi"/>
          </w:rPr>
          <w:t>Рис. 11.</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громадські будівлі по видам ресурсів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_Toc168064859 \h </w:instrText>
        </w:r>
        <w:r>
          <w:rPr>
            <w:rFonts w:eastAsiaTheme="minorEastAsia" w:cstheme="minorHAnsi"/>
          </w:rPr>
        </w:r>
        <w:r>
          <w:rPr>
            <w:rFonts w:eastAsiaTheme="minorEastAsia" w:cstheme="minorHAnsi"/>
          </w:rPr>
          <w:fldChar w:fldCharType="separate"/>
        </w:r>
        <w:r>
          <w:rPr>
            <w:rFonts w:eastAsiaTheme="minorEastAsia" w:cstheme="minorHAnsi"/>
          </w:rPr>
          <w:t>18</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60" w:tooltip="#_Toc168064860" w:history="1">
        <w:r>
          <w:rPr>
            <w:rStyle w:val="af3"/>
            <w:rFonts w:ascii="Times New Roman" w:eastAsiaTheme="minorEastAsia" w:hAnsi="Times New Roman" w:cstheme="minorHAnsi"/>
          </w:rPr>
          <w:t>Рис. 12.</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громадські будівлі по видам ресурсів</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_Toc168064860 \h </w:instrText>
        </w:r>
        <w:r>
          <w:rPr>
            <w:rFonts w:eastAsiaTheme="minorEastAsia" w:cstheme="minorHAnsi"/>
          </w:rPr>
        </w:r>
        <w:r>
          <w:rPr>
            <w:rFonts w:eastAsiaTheme="minorEastAsia" w:cstheme="minorHAnsi"/>
          </w:rPr>
          <w:fldChar w:fldCharType="separate"/>
        </w:r>
        <w:r>
          <w:rPr>
            <w:rFonts w:eastAsiaTheme="minorEastAsia" w:cstheme="minorHAnsi"/>
          </w:rPr>
          <w:t>19</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61" w:tooltip="#_Toc168064861" w:history="1">
        <w:r>
          <w:rPr>
            <w:rStyle w:val="af3"/>
            <w:rFonts w:ascii="Times New Roman" w:eastAsiaTheme="minorEastAsia" w:hAnsi="Times New Roman" w:cstheme="minorHAnsi"/>
          </w:rPr>
          <w:t>Рис. 13.</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житлові будівлі по типам будівель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_Toc168064861 \h </w:instrText>
        </w:r>
        <w:r>
          <w:rPr>
            <w:rFonts w:eastAsiaTheme="minorEastAsia" w:cstheme="minorHAnsi"/>
          </w:rPr>
        </w:r>
        <w:r>
          <w:rPr>
            <w:rFonts w:eastAsiaTheme="minorEastAsia" w:cstheme="minorHAnsi"/>
          </w:rPr>
          <w:fldChar w:fldCharType="separate"/>
        </w:r>
        <w:r>
          <w:rPr>
            <w:rFonts w:eastAsiaTheme="minorEastAsia" w:cstheme="minorHAnsi"/>
          </w:rPr>
          <w:t>19</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62" w:tooltip="#_Toc168064862" w:history="1">
        <w:r>
          <w:rPr>
            <w:rStyle w:val="af3"/>
            <w:rFonts w:ascii="Times New Roman" w:eastAsiaTheme="minorEastAsia" w:hAnsi="Times New Roman" w:cstheme="minorHAnsi"/>
          </w:rPr>
          <w:t>Рис. 14.</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громадські будівлі по видам ресурсів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_Toc168064862 \h </w:instrText>
        </w:r>
        <w:r>
          <w:rPr>
            <w:rFonts w:eastAsiaTheme="minorEastAsia" w:cstheme="minorHAnsi"/>
          </w:rPr>
        </w:r>
        <w:r>
          <w:rPr>
            <w:rFonts w:eastAsiaTheme="minorEastAsia" w:cstheme="minorHAnsi"/>
          </w:rPr>
          <w:fldChar w:fldCharType="separate"/>
        </w:r>
        <w:r>
          <w:rPr>
            <w:rFonts w:eastAsiaTheme="minorEastAsia" w:cstheme="minorHAnsi"/>
          </w:rPr>
          <w:t>20</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63" w:tooltip="#_Toc168064863" w:history="1">
        <w:r>
          <w:rPr>
            <w:rStyle w:val="af3"/>
            <w:rFonts w:ascii="Times New Roman" w:eastAsiaTheme="minorEastAsia" w:hAnsi="Times New Roman" w:cstheme="minorHAnsi"/>
          </w:rPr>
          <w:t>Рис. 15.</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житлові будівлі по видам ресурсів</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_Toc168064863 \h </w:instrText>
        </w:r>
        <w:r>
          <w:rPr>
            <w:rFonts w:eastAsiaTheme="minorEastAsia" w:cstheme="minorHAnsi"/>
          </w:rPr>
        </w:r>
        <w:r>
          <w:rPr>
            <w:rFonts w:eastAsiaTheme="minorEastAsia" w:cstheme="minorHAnsi"/>
          </w:rPr>
          <w:fldChar w:fldCharType="separate"/>
        </w:r>
        <w:r>
          <w:rPr>
            <w:rFonts w:eastAsiaTheme="minorEastAsia" w:cstheme="minorHAnsi"/>
          </w:rPr>
          <w:t>20</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64" w:tooltip="#_Toc168064864" w:history="1">
        <w:r>
          <w:rPr>
            <w:rStyle w:val="af3"/>
            <w:rFonts w:ascii="Times New Roman" w:eastAsiaTheme="minorEastAsia" w:hAnsi="Times New Roman" w:cstheme="minorHAnsi"/>
          </w:rPr>
          <w:t>Рис. 16.</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те</w:t>
        </w:r>
        <w:r>
          <w:rPr>
            <w:rStyle w:val="af3"/>
            <w:rFonts w:ascii="Times New Roman" w:eastAsiaTheme="minorEastAsia" w:hAnsi="Times New Roman" w:cstheme="minorHAnsi"/>
          </w:rPr>
          <w:t>плопостачання  по видам ресурсів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_Toc168064864 \h </w:instrText>
        </w:r>
        <w:r>
          <w:rPr>
            <w:rFonts w:eastAsiaTheme="minorEastAsia" w:cstheme="minorHAnsi"/>
          </w:rPr>
        </w:r>
        <w:r>
          <w:rPr>
            <w:rFonts w:eastAsiaTheme="minorEastAsia" w:cstheme="minorHAnsi"/>
          </w:rPr>
          <w:fldChar w:fldCharType="separate"/>
        </w:r>
        <w:r>
          <w:rPr>
            <w:rFonts w:eastAsiaTheme="minorEastAsia" w:cstheme="minorHAnsi"/>
          </w:rPr>
          <w:t>21</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65" w:tooltip="#_Toc168064865" w:history="1">
        <w:r>
          <w:rPr>
            <w:rStyle w:val="af3"/>
            <w:rFonts w:ascii="Times New Roman" w:eastAsiaTheme="minorEastAsia" w:hAnsi="Times New Roman" w:cstheme="minorHAnsi"/>
          </w:rPr>
          <w:t>Рис. 17.</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теплопостачання  по видам ре</w:t>
        </w:r>
        <w:r>
          <w:rPr>
            <w:rStyle w:val="af3"/>
            <w:rFonts w:ascii="Times New Roman" w:eastAsiaTheme="minorEastAsia" w:hAnsi="Times New Roman" w:cstheme="minorHAnsi"/>
          </w:rPr>
          <w:t>сурсів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_Toc168064865 \h </w:instrText>
        </w:r>
        <w:r>
          <w:rPr>
            <w:rFonts w:eastAsiaTheme="minorEastAsia" w:cstheme="minorHAnsi"/>
          </w:rPr>
        </w:r>
        <w:r>
          <w:rPr>
            <w:rFonts w:eastAsiaTheme="minorEastAsia" w:cstheme="minorHAnsi"/>
          </w:rPr>
          <w:fldChar w:fldCharType="separate"/>
        </w:r>
        <w:r>
          <w:rPr>
            <w:rFonts w:eastAsiaTheme="minorEastAsia" w:cstheme="minorHAnsi"/>
          </w:rPr>
          <w:t>21</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66" w:tooltip="#_Toc168064866" w:history="1">
        <w:r>
          <w:rPr>
            <w:rStyle w:val="af3"/>
            <w:rFonts w:ascii="Times New Roman" w:eastAsiaTheme="minorEastAsia" w:hAnsi="Times New Roman" w:cstheme="minorHAnsi"/>
          </w:rPr>
          <w:t>Рис. 18.</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водопостачання і водовідведення по видам наданих послу</w:t>
        </w:r>
        <w:r>
          <w:rPr>
            <w:rStyle w:val="af3"/>
            <w:rFonts w:ascii="Times New Roman" w:eastAsiaTheme="minorEastAsia" w:hAnsi="Times New Roman" w:cstheme="minorHAnsi"/>
          </w:rPr>
          <w:t>г по роках</w:t>
        </w:r>
        <w:r>
          <w:rPr>
            <w:rFonts w:eastAsiaTheme="minorEastAsia" w:cstheme="minorHAnsi"/>
          </w:rPr>
          <w:tab/>
        </w:r>
        <w:r>
          <w:rPr>
            <w:rFonts w:eastAsiaTheme="minorEastAsia" w:cstheme="minorHAnsi"/>
            <w:lang w:val="uk-UA"/>
          </w:rPr>
          <w:t xml:space="preserve">                                                                                                                                                                 </w:t>
        </w:r>
        <w:r>
          <w:rPr>
            <w:rFonts w:eastAsiaTheme="minorEastAsia" w:cstheme="minorHAnsi"/>
          </w:rPr>
          <w:fldChar w:fldCharType="begin"/>
        </w:r>
        <w:r>
          <w:rPr>
            <w:rFonts w:eastAsiaTheme="minorEastAsia" w:cstheme="minorHAnsi"/>
          </w:rPr>
          <w:instrText xml:space="preserve"> PAGEREF _Toc168064866 \h </w:instrText>
        </w:r>
        <w:r>
          <w:rPr>
            <w:rFonts w:eastAsiaTheme="minorEastAsia" w:cstheme="minorHAnsi"/>
          </w:rPr>
        </w:r>
        <w:r>
          <w:rPr>
            <w:rFonts w:eastAsiaTheme="minorEastAsia" w:cstheme="minorHAnsi"/>
          </w:rPr>
          <w:fldChar w:fldCharType="separate"/>
        </w:r>
        <w:r>
          <w:rPr>
            <w:rFonts w:eastAsiaTheme="minorEastAsia" w:cstheme="minorHAnsi"/>
          </w:rPr>
          <w:t>22</w:t>
        </w:r>
        <w:r>
          <w:rPr>
            <w:rFonts w:eastAsiaTheme="minorEastAsia" w:cstheme="minorHAnsi"/>
          </w:rPr>
          <w:fldChar w:fldCharType="end"/>
        </w:r>
      </w:hyperlink>
    </w:p>
    <w:p w:rsidR="00275E65" w:rsidRDefault="00902217">
      <w:pPr>
        <w:pStyle w:val="11"/>
        <w:tabs>
          <w:tab w:val="left" w:pos="1100"/>
          <w:tab w:val="right" w:leader="hyphen" w:pos="9345"/>
        </w:tabs>
        <w:rPr>
          <w:lang w:val="uk-UA"/>
        </w:rPr>
      </w:pPr>
      <w:r>
        <w:rPr>
          <w:rFonts w:eastAsiaTheme="minorEastAsia" w:cstheme="minorHAnsi"/>
        </w:rPr>
        <w:fldChar w:fldCharType="begin"/>
      </w:r>
      <w:r>
        <w:rPr>
          <w:rFonts w:eastAsiaTheme="minorEastAsia" w:cstheme="minorHAnsi"/>
        </w:rPr>
        <w:instrText xml:space="preserve"> HYPERLINK \l "_Toc168064867" </w:instrText>
      </w:r>
      <w:r>
        <w:rPr>
          <w:rFonts w:eastAsiaTheme="minorEastAsia" w:cstheme="minorHAnsi"/>
        </w:rPr>
        <w:fldChar w:fldCharType="separate"/>
      </w:r>
      <w:r>
        <w:rPr>
          <w:rStyle w:val="af3"/>
          <w:rFonts w:ascii="Times New Roman" w:eastAsiaTheme="minorEastAsia" w:hAnsi="Times New Roman" w:cstheme="minorHAnsi"/>
        </w:rPr>
        <w:t>Рис. 19.</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водопостачання і водовідведення по видам наданих послуг</w:t>
      </w:r>
      <w:r>
        <w:rPr>
          <w:rFonts w:eastAsiaTheme="minorEastAsia" w:cstheme="minorHAnsi"/>
        </w:rPr>
        <w:tab/>
      </w:r>
      <w:r>
        <w:rPr>
          <w:rFonts w:eastAsiaTheme="minorEastAsia" w:cstheme="minorHAnsi"/>
          <w:lang w:val="uk-UA"/>
        </w:rPr>
        <w:t xml:space="preserve">                                 </w:t>
      </w:r>
    </w:p>
    <w:p w:rsidR="00275E65" w:rsidRDefault="00902217">
      <w:pPr>
        <w:pStyle w:val="11"/>
        <w:tabs>
          <w:tab w:val="left" w:pos="1100"/>
          <w:tab w:val="right" w:leader="hyphen" w:pos="9345"/>
        </w:tabs>
        <w:rPr>
          <w:rFonts w:eastAsiaTheme="minorEastAsia"/>
          <w:lang w:val="uk-UA" w:eastAsia="uk-UA"/>
        </w:rPr>
      </w:pPr>
      <w:r>
        <w:rPr>
          <w:rFonts w:eastAsiaTheme="minorEastAsia" w:cstheme="minorHAnsi"/>
          <w:lang w:val="uk-UA"/>
        </w:rPr>
        <w:t xml:space="preserve">                                   </w:t>
      </w:r>
      <w:r>
        <w:rPr>
          <w:rFonts w:eastAsiaTheme="minorEastAsia" w:cstheme="minorHAnsi"/>
          <w:lang w:val="uk-UA"/>
        </w:rPr>
        <w:t xml:space="preserve">                                                                                                                                                    </w:t>
      </w:r>
      <w:r>
        <w:rPr>
          <w:rFonts w:eastAsiaTheme="minorEastAsia" w:cstheme="minorHAnsi"/>
        </w:rPr>
        <w:fldChar w:fldCharType="begin"/>
      </w:r>
      <w:r>
        <w:rPr>
          <w:rFonts w:eastAsiaTheme="minorEastAsia" w:cstheme="minorHAnsi"/>
        </w:rPr>
        <w:instrText xml:space="preserve"> PAGEREF _Toc168064867 \h </w:instrText>
      </w:r>
      <w:r>
        <w:rPr>
          <w:rFonts w:eastAsiaTheme="minorEastAsia" w:cstheme="minorHAnsi"/>
        </w:rPr>
      </w:r>
      <w:r>
        <w:rPr>
          <w:rFonts w:eastAsiaTheme="minorEastAsia" w:cstheme="minorHAnsi"/>
        </w:rPr>
        <w:fldChar w:fldCharType="separate"/>
      </w:r>
      <w:r>
        <w:rPr>
          <w:rFonts w:eastAsiaTheme="minorEastAsia" w:cstheme="minorHAnsi"/>
        </w:rPr>
        <w:t>22</w:t>
      </w:r>
      <w:r>
        <w:rPr>
          <w:rFonts w:eastAsiaTheme="minorEastAsia" w:cstheme="minorHAnsi"/>
        </w:rPr>
        <w:fldChar w:fldCharType="end"/>
      </w:r>
      <w:r>
        <w:rPr>
          <w:rFonts w:eastAsiaTheme="minorEastAsia" w:cstheme="minorHAnsi"/>
        </w:rPr>
        <w:fldChar w:fldCharType="end"/>
      </w:r>
    </w:p>
    <w:p w:rsidR="00275E65" w:rsidRDefault="00902217">
      <w:pPr>
        <w:pStyle w:val="11"/>
        <w:tabs>
          <w:tab w:val="left" w:pos="1100"/>
          <w:tab w:val="right" w:leader="hyphen" w:pos="9345"/>
        </w:tabs>
        <w:rPr>
          <w:rFonts w:eastAsiaTheme="minorEastAsia"/>
          <w:lang w:val="uk-UA" w:eastAsia="uk-UA"/>
        </w:rPr>
      </w:pPr>
      <w:hyperlink w:anchor="_Toc168064868" w:tooltip="#_Toc168064868" w:history="1">
        <w:r>
          <w:rPr>
            <w:rStyle w:val="af3"/>
            <w:rFonts w:ascii="Times New Roman" w:eastAsiaTheme="minorEastAsia" w:hAnsi="Times New Roman" w:cstheme="minorHAnsi"/>
          </w:rPr>
          <w:t>Рис. 20.</w:t>
        </w:r>
        <w:r>
          <w:rPr>
            <w:rFonts w:eastAsiaTheme="minorEastAsia" w:cstheme="minorHAnsi"/>
            <w:lang w:val="uk-UA" w:eastAsia="uk-UA"/>
          </w:rPr>
          <w:tab/>
        </w:r>
        <w:r>
          <w:rPr>
            <w:rStyle w:val="af3"/>
            <w:rFonts w:ascii="Times New Roman" w:eastAsiaTheme="minorEastAsia" w:hAnsi="Times New Roman" w:cstheme="minorHAnsi"/>
          </w:rPr>
          <w:t>Витрати громади  в управління побутовими відходами по видам ресурсів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_Toc168064868 \h </w:instrText>
        </w:r>
        <w:r>
          <w:rPr>
            <w:rFonts w:eastAsiaTheme="minorEastAsia" w:cstheme="minorHAnsi"/>
          </w:rPr>
        </w:r>
        <w:r>
          <w:rPr>
            <w:rFonts w:eastAsiaTheme="minorEastAsia" w:cstheme="minorHAnsi"/>
          </w:rPr>
          <w:fldChar w:fldCharType="separate"/>
        </w:r>
        <w:r>
          <w:rPr>
            <w:rFonts w:eastAsiaTheme="minorEastAsia" w:cstheme="minorHAnsi"/>
          </w:rPr>
          <w:t>23</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69" w:tooltip="#_Toc168064869" w:history="1">
        <w:r>
          <w:rPr>
            <w:rStyle w:val="af3"/>
            <w:rFonts w:ascii="Times New Roman" w:eastAsiaTheme="minorEastAsia" w:hAnsi="Times New Roman" w:cstheme="minorHAnsi"/>
          </w:rPr>
          <w:t>Рис. 21.</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зовнішнє освітлення по видам наданих послуг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_Toc168064869 \h </w:instrText>
        </w:r>
        <w:r>
          <w:rPr>
            <w:rFonts w:eastAsiaTheme="minorEastAsia" w:cstheme="minorHAnsi"/>
          </w:rPr>
        </w:r>
        <w:r>
          <w:rPr>
            <w:rFonts w:eastAsiaTheme="minorEastAsia" w:cstheme="minorHAnsi"/>
          </w:rPr>
          <w:fldChar w:fldCharType="separate"/>
        </w:r>
        <w:r>
          <w:rPr>
            <w:rFonts w:eastAsiaTheme="minorEastAsia" w:cstheme="minorHAnsi"/>
          </w:rPr>
          <w:t>23</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70" w:tooltip="#_Toc168064870" w:history="1">
        <w:r>
          <w:rPr>
            <w:rStyle w:val="af3"/>
            <w:rFonts w:ascii="Times New Roman" w:eastAsiaTheme="minorEastAsia" w:hAnsi="Times New Roman" w:cstheme="minorHAnsi"/>
          </w:rPr>
          <w:t>Рис. 22.</w:t>
        </w:r>
        <w:r>
          <w:rPr>
            <w:rFonts w:eastAsiaTheme="minorEastAsia" w:cstheme="minorHAnsi"/>
            <w:lang w:val="uk-UA" w:eastAsia="uk-UA"/>
          </w:rPr>
          <w:tab/>
        </w:r>
        <w:r>
          <w:rPr>
            <w:rStyle w:val="af3"/>
            <w:rFonts w:ascii="Times New Roman" w:eastAsiaTheme="minorEastAsia" w:hAnsi="Times New Roman" w:cstheme="minorHAnsi"/>
          </w:rPr>
          <w:t>Витрати громади в секторі зовнішнє освітлення по видам наданих послуг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_Toc168064870 \h </w:instrText>
        </w:r>
        <w:r>
          <w:rPr>
            <w:rFonts w:eastAsiaTheme="minorEastAsia" w:cstheme="minorHAnsi"/>
          </w:rPr>
        </w:r>
        <w:r>
          <w:rPr>
            <w:rFonts w:eastAsiaTheme="minorEastAsia" w:cstheme="minorHAnsi"/>
          </w:rPr>
          <w:fldChar w:fldCharType="separate"/>
        </w:r>
        <w:r>
          <w:rPr>
            <w:rFonts w:eastAsiaTheme="minorEastAsia" w:cstheme="minorHAnsi"/>
          </w:rPr>
          <w:t>24</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71" w:tooltip="#_Toc168064871" w:history="1">
        <w:r>
          <w:rPr>
            <w:rStyle w:val="af3"/>
            <w:rFonts w:ascii="Times New Roman" w:eastAsiaTheme="minorEastAsia" w:hAnsi="Times New Roman" w:cstheme="minorHAnsi"/>
          </w:rPr>
          <w:t>Рис. 23.</w:t>
        </w:r>
        <w:r>
          <w:rPr>
            <w:rFonts w:eastAsiaTheme="minorEastAsia" w:cstheme="minorHAnsi"/>
            <w:lang w:val="uk-UA" w:eastAsia="uk-UA"/>
          </w:rPr>
          <w:tab/>
        </w:r>
        <w:r>
          <w:rPr>
            <w:rStyle w:val="af3"/>
            <w:rFonts w:ascii="Times New Roman" w:eastAsiaTheme="minorEastAsia" w:hAnsi="Times New Roman" w:cstheme="minorHAnsi"/>
          </w:rPr>
          <w:t>Витрати громади  секторі громадський транспорт по видам ресурсів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_Toc168064871 \h </w:instrText>
        </w:r>
        <w:r>
          <w:rPr>
            <w:rFonts w:eastAsiaTheme="minorEastAsia" w:cstheme="minorHAnsi"/>
          </w:rPr>
        </w:r>
        <w:r>
          <w:rPr>
            <w:rFonts w:eastAsiaTheme="minorEastAsia" w:cstheme="minorHAnsi"/>
          </w:rPr>
          <w:fldChar w:fldCharType="separate"/>
        </w:r>
        <w:r>
          <w:rPr>
            <w:rFonts w:eastAsiaTheme="minorEastAsia" w:cstheme="minorHAnsi"/>
          </w:rPr>
          <w:t>24</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72" w:tooltip="#_Toc168064872" w:history="1">
        <w:r>
          <w:rPr>
            <w:rStyle w:val="af3"/>
            <w:rFonts w:ascii="Times New Roman" w:eastAsiaTheme="minorEastAsia" w:hAnsi="Times New Roman" w:cstheme="minorHAnsi"/>
          </w:rPr>
          <w:t>Рис. 24.</w:t>
        </w:r>
        <w:r>
          <w:rPr>
            <w:rFonts w:eastAsiaTheme="minorEastAsia" w:cstheme="minorHAnsi"/>
            <w:lang w:val="uk-UA" w:eastAsia="uk-UA"/>
          </w:rPr>
          <w:tab/>
        </w:r>
        <w:r>
          <w:rPr>
            <w:rStyle w:val="af3"/>
            <w:rFonts w:ascii="Times New Roman" w:eastAsiaTheme="minorEastAsia" w:hAnsi="Times New Roman" w:cstheme="minorHAnsi"/>
          </w:rPr>
          <w:t>Загальні інвестиції гро</w:t>
        </w:r>
        <w:r>
          <w:rPr>
            <w:rStyle w:val="af3"/>
            <w:rFonts w:ascii="Times New Roman" w:eastAsiaTheme="minorEastAsia" w:hAnsi="Times New Roman" w:cstheme="minorHAnsi"/>
          </w:rPr>
          <w:t>мади в розрізі секторів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_Toc168064872 \h </w:instrText>
        </w:r>
        <w:r>
          <w:rPr>
            <w:rFonts w:eastAsiaTheme="minorEastAsia" w:cstheme="minorHAnsi"/>
          </w:rPr>
        </w:r>
        <w:r>
          <w:rPr>
            <w:rFonts w:eastAsiaTheme="minorEastAsia" w:cstheme="minorHAnsi"/>
          </w:rPr>
          <w:fldChar w:fldCharType="separate"/>
        </w:r>
        <w:r>
          <w:rPr>
            <w:rFonts w:eastAsiaTheme="minorEastAsia" w:cstheme="minorHAnsi"/>
          </w:rPr>
          <w:t>25</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73" w:tooltip="#_Toc168064873" w:history="1">
        <w:r>
          <w:rPr>
            <w:rStyle w:val="af3"/>
            <w:rFonts w:ascii="Times New Roman" w:eastAsiaTheme="minorEastAsia" w:hAnsi="Times New Roman" w:cstheme="minorHAnsi"/>
          </w:rPr>
          <w:t>Рис. 25.</w:t>
        </w:r>
        <w:r>
          <w:rPr>
            <w:rFonts w:eastAsiaTheme="minorEastAsia" w:cstheme="minorHAnsi"/>
            <w:lang w:val="uk-UA" w:eastAsia="uk-UA"/>
          </w:rPr>
          <w:tab/>
        </w:r>
        <w:r>
          <w:rPr>
            <w:rStyle w:val="af3"/>
            <w:rFonts w:ascii="Times New Roman" w:eastAsiaTheme="minorEastAsia" w:hAnsi="Times New Roman" w:cstheme="minorHAnsi"/>
          </w:rPr>
          <w:t>Загальні інвестиції громади по секторах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_Toc168064873 \h</w:instrText>
        </w:r>
        <w:r>
          <w:rPr>
            <w:rFonts w:eastAsiaTheme="minorEastAsia" w:cstheme="minorHAnsi"/>
          </w:rPr>
          <w:instrText xml:space="preserve"> </w:instrText>
        </w:r>
        <w:r>
          <w:rPr>
            <w:rFonts w:eastAsiaTheme="minorEastAsia" w:cstheme="minorHAnsi"/>
          </w:rPr>
        </w:r>
        <w:r>
          <w:rPr>
            <w:rFonts w:eastAsiaTheme="minorEastAsia" w:cstheme="minorHAnsi"/>
          </w:rPr>
          <w:fldChar w:fldCharType="separate"/>
        </w:r>
        <w:r>
          <w:rPr>
            <w:rFonts w:eastAsiaTheme="minorEastAsia" w:cstheme="minorHAnsi"/>
          </w:rPr>
          <w:t>25</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74" w:tooltip="#_Toc168064874" w:history="1">
        <w:r>
          <w:rPr>
            <w:rStyle w:val="af3"/>
            <w:rFonts w:ascii="Times New Roman" w:eastAsiaTheme="minorEastAsia" w:hAnsi="Times New Roman" w:cstheme="minorHAnsi"/>
          </w:rPr>
          <w:t>Рис. 26.</w:t>
        </w:r>
        <w:r>
          <w:rPr>
            <w:rFonts w:eastAsiaTheme="minorEastAsia" w:cstheme="minorHAnsi"/>
            <w:lang w:val="uk-UA" w:eastAsia="uk-UA"/>
          </w:rPr>
          <w:tab/>
        </w:r>
        <w:r>
          <w:rPr>
            <w:rStyle w:val="af3"/>
            <w:rFonts w:ascii="Times New Roman" w:eastAsiaTheme="minorEastAsia" w:hAnsi="Times New Roman" w:cstheme="minorHAnsi"/>
          </w:rPr>
          <w:t>Інвестиції громади  в секторі громадські будівлі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_Toc168064874 \h </w:instrText>
        </w:r>
        <w:r>
          <w:rPr>
            <w:rFonts w:eastAsiaTheme="minorEastAsia" w:cstheme="minorHAnsi"/>
          </w:rPr>
        </w:r>
        <w:r>
          <w:rPr>
            <w:rFonts w:eastAsiaTheme="minorEastAsia" w:cstheme="minorHAnsi"/>
          </w:rPr>
          <w:fldChar w:fldCharType="separate"/>
        </w:r>
        <w:r>
          <w:rPr>
            <w:rFonts w:eastAsiaTheme="minorEastAsia" w:cstheme="minorHAnsi"/>
          </w:rPr>
          <w:t>26</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75" w:tooltip="#_Toc168064875" w:history="1">
        <w:r>
          <w:rPr>
            <w:rStyle w:val="af3"/>
            <w:rFonts w:ascii="Times New Roman" w:eastAsiaTheme="minorEastAsia" w:hAnsi="Times New Roman" w:cstheme="minorHAnsi"/>
          </w:rPr>
          <w:t>Рис. 27.</w:t>
        </w:r>
        <w:r>
          <w:rPr>
            <w:rFonts w:eastAsiaTheme="minorEastAsia" w:cstheme="minorHAnsi"/>
            <w:lang w:val="uk-UA" w:eastAsia="uk-UA"/>
          </w:rPr>
          <w:tab/>
        </w:r>
        <w:r>
          <w:rPr>
            <w:rStyle w:val="af3"/>
            <w:rFonts w:ascii="Times New Roman" w:eastAsiaTheme="minorEastAsia" w:hAnsi="Times New Roman" w:cstheme="minorHAnsi"/>
          </w:rPr>
          <w:t>Інвестиції громади  в секторі теплопостачання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_Toc168064875 \h </w:instrText>
        </w:r>
        <w:r>
          <w:rPr>
            <w:rFonts w:eastAsiaTheme="minorEastAsia" w:cstheme="minorHAnsi"/>
          </w:rPr>
        </w:r>
        <w:r>
          <w:rPr>
            <w:rFonts w:eastAsiaTheme="minorEastAsia" w:cstheme="minorHAnsi"/>
          </w:rPr>
          <w:fldChar w:fldCharType="separate"/>
        </w:r>
        <w:r>
          <w:rPr>
            <w:rFonts w:eastAsiaTheme="minorEastAsia" w:cstheme="minorHAnsi"/>
          </w:rPr>
          <w:t>27</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76" w:tooltip="#_Toc168064876" w:history="1">
        <w:r>
          <w:rPr>
            <w:rStyle w:val="af3"/>
            <w:rFonts w:ascii="Times New Roman" w:eastAsiaTheme="minorEastAsia" w:hAnsi="Times New Roman" w:cstheme="minorHAnsi"/>
          </w:rPr>
          <w:t>Рис. 28.</w:t>
        </w:r>
        <w:r>
          <w:rPr>
            <w:rFonts w:eastAsiaTheme="minorEastAsia" w:cstheme="minorHAnsi"/>
            <w:lang w:val="uk-UA" w:eastAsia="uk-UA"/>
          </w:rPr>
          <w:tab/>
        </w:r>
        <w:r>
          <w:rPr>
            <w:rStyle w:val="af3"/>
            <w:rFonts w:ascii="Times New Roman" w:eastAsiaTheme="minorEastAsia" w:hAnsi="Times New Roman" w:cstheme="minorHAnsi"/>
          </w:rPr>
          <w:t>Інвестиції громади  в секторі водопостачання і водовідведення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_Toc168064876 \h </w:instrText>
        </w:r>
        <w:r>
          <w:rPr>
            <w:rFonts w:eastAsiaTheme="minorEastAsia" w:cstheme="minorHAnsi"/>
          </w:rPr>
        </w:r>
        <w:r>
          <w:rPr>
            <w:rFonts w:eastAsiaTheme="minorEastAsia" w:cstheme="minorHAnsi"/>
          </w:rPr>
          <w:fldChar w:fldCharType="separate"/>
        </w:r>
        <w:r>
          <w:rPr>
            <w:rFonts w:eastAsiaTheme="minorEastAsia" w:cstheme="minorHAnsi"/>
          </w:rPr>
          <w:t>28</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77" w:tooltip="#_Toc168064877" w:history="1">
        <w:r>
          <w:rPr>
            <w:rStyle w:val="af3"/>
            <w:rFonts w:ascii="Times New Roman" w:eastAsiaTheme="minorEastAsia" w:hAnsi="Times New Roman" w:cstheme="minorHAnsi"/>
          </w:rPr>
          <w:t>Рис. 29.</w:t>
        </w:r>
        <w:r>
          <w:rPr>
            <w:rFonts w:eastAsiaTheme="minorEastAsia" w:cstheme="minorHAnsi"/>
            <w:lang w:val="uk-UA" w:eastAsia="uk-UA"/>
          </w:rPr>
          <w:tab/>
        </w:r>
        <w:r>
          <w:rPr>
            <w:rStyle w:val="af3"/>
            <w:rFonts w:ascii="Times New Roman" w:eastAsiaTheme="minorEastAsia" w:hAnsi="Times New Roman" w:cstheme="minorHAnsi"/>
          </w:rPr>
          <w:t>Інвестиції громади в секторі водопостачання і водовідведення по роках та по джерелах коштів</w:t>
        </w:r>
        <w:r>
          <w:rPr>
            <w:rFonts w:eastAsiaTheme="minorEastAsia" w:cstheme="minorHAnsi"/>
          </w:rPr>
          <w:tab/>
        </w:r>
        <w:r>
          <w:rPr>
            <w:rFonts w:eastAsiaTheme="minorEastAsia" w:cstheme="minorHAnsi"/>
            <w:lang w:val="uk-UA"/>
          </w:rPr>
          <w:t xml:space="preserve">                                     </w:t>
        </w:r>
        <w:r>
          <w:rPr>
            <w:rFonts w:eastAsiaTheme="minorEastAsia" w:cstheme="minorHAnsi"/>
            <w:lang w:val="uk-UA"/>
          </w:rPr>
          <w:t xml:space="preserve">                                                                                                                            </w:t>
        </w:r>
        <w:r>
          <w:rPr>
            <w:rFonts w:eastAsiaTheme="minorEastAsia" w:cstheme="minorHAnsi"/>
          </w:rPr>
          <w:fldChar w:fldCharType="begin"/>
        </w:r>
        <w:r>
          <w:rPr>
            <w:rFonts w:eastAsiaTheme="minorEastAsia" w:cstheme="minorHAnsi"/>
          </w:rPr>
          <w:instrText xml:space="preserve"> PAGEREF _Toc168064877 \h </w:instrText>
        </w:r>
        <w:r>
          <w:rPr>
            <w:rFonts w:eastAsiaTheme="minorEastAsia" w:cstheme="minorHAnsi"/>
          </w:rPr>
        </w:r>
        <w:r>
          <w:rPr>
            <w:rFonts w:eastAsiaTheme="minorEastAsia" w:cstheme="minorHAnsi"/>
          </w:rPr>
          <w:fldChar w:fldCharType="separate"/>
        </w:r>
        <w:r>
          <w:rPr>
            <w:rFonts w:eastAsiaTheme="minorEastAsia" w:cstheme="minorHAnsi"/>
          </w:rPr>
          <w:t>28</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78" w:tooltip="#_Toc168064878" w:history="1">
        <w:r>
          <w:rPr>
            <w:rStyle w:val="af3"/>
            <w:rFonts w:ascii="Times New Roman" w:eastAsiaTheme="minorEastAsia" w:hAnsi="Times New Roman" w:cstheme="minorHAnsi"/>
          </w:rPr>
          <w:t>Рис. 30.</w:t>
        </w:r>
        <w:r>
          <w:rPr>
            <w:rFonts w:eastAsiaTheme="minorEastAsia" w:cstheme="minorHAnsi"/>
            <w:lang w:val="uk-UA" w:eastAsia="uk-UA"/>
          </w:rPr>
          <w:tab/>
        </w:r>
        <w:r>
          <w:rPr>
            <w:rStyle w:val="af3"/>
            <w:rFonts w:ascii="Times New Roman" w:eastAsiaTheme="minorEastAsia" w:hAnsi="Times New Roman" w:cstheme="minorHAnsi"/>
          </w:rPr>
          <w:t>Інвестиції громади  в секторі водопостачання і водовідведення по роках та по джерелах коштів та по видам послуг, що надаються</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_Toc168064878 \h </w:instrText>
        </w:r>
        <w:r>
          <w:rPr>
            <w:rFonts w:eastAsiaTheme="minorEastAsia" w:cstheme="minorHAnsi"/>
          </w:rPr>
        </w:r>
        <w:r>
          <w:rPr>
            <w:rFonts w:eastAsiaTheme="minorEastAsia" w:cstheme="minorHAnsi"/>
          </w:rPr>
          <w:fldChar w:fldCharType="separate"/>
        </w:r>
        <w:r>
          <w:rPr>
            <w:rFonts w:eastAsiaTheme="minorEastAsia" w:cstheme="minorHAnsi"/>
          </w:rPr>
          <w:t>29</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79" w:tooltip="#_Toc168064879" w:history="1">
        <w:r>
          <w:rPr>
            <w:rStyle w:val="af3"/>
            <w:rFonts w:ascii="Times New Roman" w:eastAsiaTheme="minorEastAsia" w:hAnsi="Times New Roman" w:cstheme="minorHAnsi"/>
          </w:rPr>
          <w:t>Рис. 31.</w:t>
        </w:r>
        <w:r>
          <w:rPr>
            <w:rFonts w:eastAsiaTheme="minorEastAsia" w:cstheme="minorHAnsi"/>
            <w:lang w:val="uk-UA" w:eastAsia="uk-UA"/>
          </w:rPr>
          <w:tab/>
        </w:r>
        <w:r>
          <w:rPr>
            <w:rStyle w:val="af3"/>
            <w:rFonts w:ascii="Times New Roman" w:eastAsiaTheme="minorEastAsia" w:hAnsi="Times New Roman" w:cstheme="minorHAnsi"/>
          </w:rPr>
          <w:t>Інвестиції громади  в секторі водопостачання і водовідведення по джерелах коштів</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_Toc168064879 \h </w:instrText>
        </w:r>
        <w:r>
          <w:rPr>
            <w:rFonts w:eastAsiaTheme="minorEastAsia" w:cstheme="minorHAnsi"/>
          </w:rPr>
        </w:r>
        <w:r>
          <w:rPr>
            <w:rFonts w:eastAsiaTheme="minorEastAsia" w:cstheme="minorHAnsi"/>
          </w:rPr>
          <w:fldChar w:fldCharType="separate"/>
        </w:r>
        <w:r>
          <w:rPr>
            <w:rFonts w:eastAsiaTheme="minorEastAsia" w:cstheme="minorHAnsi"/>
          </w:rPr>
          <w:t>29</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80" w:tooltip="#_Toc168064880" w:history="1">
        <w:r>
          <w:rPr>
            <w:rStyle w:val="af3"/>
            <w:rFonts w:ascii="Times New Roman" w:eastAsiaTheme="minorEastAsia" w:hAnsi="Times New Roman" w:cstheme="minorHAnsi"/>
          </w:rPr>
          <w:t>Рис. 32.</w:t>
        </w:r>
        <w:r>
          <w:rPr>
            <w:rFonts w:eastAsiaTheme="minorEastAsia" w:cstheme="minorHAnsi"/>
            <w:lang w:val="uk-UA" w:eastAsia="uk-UA"/>
          </w:rPr>
          <w:tab/>
        </w:r>
        <w:r>
          <w:rPr>
            <w:rStyle w:val="af3"/>
            <w:rFonts w:ascii="Times New Roman" w:eastAsiaTheme="minorEastAsia" w:hAnsi="Times New Roman" w:cstheme="minorHAnsi"/>
          </w:rPr>
          <w:t>Інвестиції громади  в секторі водопостачання і водовідведення по видам послуг, що надаються</w:t>
        </w:r>
        <w:r>
          <w:rPr>
            <w:rFonts w:eastAsiaTheme="minorEastAsia" w:cstheme="minorHAnsi"/>
          </w:rPr>
          <w:tab/>
        </w:r>
        <w:r>
          <w:rPr>
            <w:rFonts w:eastAsiaTheme="minorEastAsia" w:cstheme="minorHAnsi"/>
            <w:lang w:val="uk-UA"/>
          </w:rPr>
          <w:t xml:space="preserve">                                                                                                                             </w:t>
        </w:r>
        <w:r>
          <w:rPr>
            <w:rFonts w:eastAsiaTheme="minorEastAsia" w:cstheme="minorHAnsi"/>
            <w:lang w:val="uk-UA"/>
          </w:rPr>
          <w:t xml:space="preserve">                                    </w:t>
        </w:r>
        <w:r>
          <w:rPr>
            <w:rFonts w:eastAsiaTheme="minorEastAsia" w:cstheme="minorHAnsi"/>
          </w:rPr>
          <w:fldChar w:fldCharType="begin"/>
        </w:r>
        <w:r>
          <w:rPr>
            <w:rFonts w:eastAsiaTheme="minorEastAsia" w:cstheme="minorHAnsi"/>
          </w:rPr>
          <w:instrText xml:space="preserve"> PAGEREF _Toc168064880 \h </w:instrText>
        </w:r>
        <w:r>
          <w:rPr>
            <w:rFonts w:eastAsiaTheme="minorEastAsia" w:cstheme="minorHAnsi"/>
          </w:rPr>
        </w:r>
        <w:r>
          <w:rPr>
            <w:rFonts w:eastAsiaTheme="minorEastAsia" w:cstheme="minorHAnsi"/>
          </w:rPr>
          <w:fldChar w:fldCharType="separate"/>
        </w:r>
        <w:r>
          <w:rPr>
            <w:rFonts w:eastAsiaTheme="minorEastAsia" w:cstheme="minorHAnsi"/>
          </w:rPr>
          <w:t>30</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81" w:tooltip="#_Toc168064881" w:history="1">
        <w:r>
          <w:rPr>
            <w:rStyle w:val="af3"/>
            <w:rFonts w:ascii="Times New Roman" w:eastAsiaTheme="minorEastAsia" w:hAnsi="Times New Roman" w:cstheme="minorHAnsi"/>
          </w:rPr>
          <w:t>Рис. 33.</w:t>
        </w:r>
        <w:r>
          <w:rPr>
            <w:rFonts w:eastAsiaTheme="minorEastAsia" w:cstheme="minorHAnsi"/>
            <w:lang w:val="uk-UA" w:eastAsia="uk-UA"/>
          </w:rPr>
          <w:tab/>
        </w:r>
        <w:r>
          <w:rPr>
            <w:rStyle w:val="af3"/>
            <w:rFonts w:ascii="Times New Roman" w:eastAsiaTheme="minorEastAsia" w:hAnsi="Times New Roman" w:cstheme="minorHAnsi"/>
          </w:rPr>
          <w:t>Інвестиції громади  в секторі управління побутовими відходами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_Toc168064881 \h </w:instrText>
        </w:r>
        <w:r>
          <w:rPr>
            <w:rFonts w:eastAsiaTheme="minorEastAsia" w:cstheme="minorHAnsi"/>
          </w:rPr>
        </w:r>
        <w:r>
          <w:rPr>
            <w:rFonts w:eastAsiaTheme="minorEastAsia" w:cstheme="minorHAnsi"/>
          </w:rPr>
          <w:fldChar w:fldCharType="separate"/>
        </w:r>
        <w:r>
          <w:rPr>
            <w:rFonts w:eastAsiaTheme="minorEastAsia" w:cstheme="minorHAnsi"/>
          </w:rPr>
          <w:t>30</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82" w:tooltip="#_Toc168064882" w:history="1">
        <w:r>
          <w:rPr>
            <w:rStyle w:val="af3"/>
            <w:rFonts w:ascii="Times New Roman" w:eastAsiaTheme="minorEastAsia" w:hAnsi="Times New Roman" w:cstheme="minorHAnsi"/>
          </w:rPr>
          <w:t>Рис. 34.</w:t>
        </w:r>
        <w:r>
          <w:rPr>
            <w:rFonts w:eastAsiaTheme="minorEastAsia" w:cstheme="minorHAnsi"/>
            <w:lang w:val="uk-UA" w:eastAsia="uk-UA"/>
          </w:rPr>
          <w:tab/>
        </w:r>
        <w:r>
          <w:rPr>
            <w:rStyle w:val="af3"/>
            <w:rFonts w:ascii="Times New Roman" w:eastAsiaTheme="minorEastAsia" w:hAnsi="Times New Roman" w:cstheme="minorHAnsi"/>
          </w:rPr>
          <w:t>Інвестиції громади  в секторі управління побутовими відходами</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_Toc168064882 \h </w:instrText>
        </w:r>
        <w:r>
          <w:rPr>
            <w:rFonts w:eastAsiaTheme="minorEastAsia" w:cstheme="minorHAnsi"/>
          </w:rPr>
        </w:r>
        <w:r>
          <w:rPr>
            <w:rFonts w:eastAsiaTheme="minorEastAsia" w:cstheme="minorHAnsi"/>
          </w:rPr>
          <w:fldChar w:fldCharType="separate"/>
        </w:r>
        <w:r>
          <w:rPr>
            <w:rFonts w:eastAsiaTheme="minorEastAsia" w:cstheme="minorHAnsi"/>
          </w:rPr>
          <w:t>30</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83" w:tooltip="#_Toc168064883" w:history="1">
        <w:r>
          <w:rPr>
            <w:rStyle w:val="af3"/>
            <w:rFonts w:ascii="Times New Roman" w:eastAsiaTheme="minorEastAsia" w:hAnsi="Times New Roman" w:cstheme="minorHAnsi"/>
          </w:rPr>
          <w:t>Рис. 35.</w:t>
        </w:r>
        <w:r>
          <w:rPr>
            <w:rFonts w:eastAsiaTheme="minorEastAsia" w:cstheme="minorHAnsi"/>
            <w:lang w:val="uk-UA" w:eastAsia="uk-UA"/>
          </w:rPr>
          <w:tab/>
        </w:r>
        <w:r>
          <w:rPr>
            <w:rStyle w:val="af3"/>
            <w:rFonts w:ascii="Times New Roman" w:eastAsiaTheme="minorEastAsia" w:hAnsi="Times New Roman" w:cstheme="minorHAnsi"/>
          </w:rPr>
          <w:t>Інвестиції громади  в зовнішнє освітлення відходами по роках</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_Toc168064883 \h </w:instrText>
        </w:r>
        <w:r>
          <w:rPr>
            <w:rFonts w:eastAsiaTheme="minorEastAsia" w:cstheme="minorHAnsi"/>
          </w:rPr>
        </w:r>
        <w:r>
          <w:rPr>
            <w:rFonts w:eastAsiaTheme="minorEastAsia" w:cstheme="minorHAnsi"/>
          </w:rPr>
          <w:fldChar w:fldCharType="separate"/>
        </w:r>
        <w:r>
          <w:rPr>
            <w:rFonts w:eastAsiaTheme="minorEastAsia" w:cstheme="minorHAnsi"/>
          </w:rPr>
          <w:t>31</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84" w:tooltip="#_Toc168064884" w:history="1">
        <w:r>
          <w:rPr>
            <w:rStyle w:val="af3"/>
            <w:rFonts w:ascii="Times New Roman" w:eastAsiaTheme="minorEastAsia" w:hAnsi="Times New Roman" w:cstheme="minorHAnsi"/>
          </w:rPr>
          <w:t>Рис. 36.</w:t>
        </w:r>
        <w:r>
          <w:rPr>
            <w:rFonts w:eastAsiaTheme="minorEastAsia" w:cstheme="minorHAnsi"/>
            <w:lang w:val="uk-UA" w:eastAsia="uk-UA"/>
          </w:rPr>
          <w:tab/>
        </w:r>
        <w:r>
          <w:rPr>
            <w:rStyle w:val="af3"/>
            <w:rFonts w:ascii="Times New Roman" w:eastAsiaTheme="minorEastAsia" w:hAnsi="Times New Roman" w:cstheme="minorHAnsi"/>
          </w:rPr>
          <w:t>Питоме фактичне енергоспоживання на опалення житлових будівель.</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_Toc168064884 \h </w:instrText>
        </w:r>
        <w:r>
          <w:rPr>
            <w:rFonts w:eastAsiaTheme="minorEastAsia" w:cstheme="minorHAnsi"/>
          </w:rPr>
        </w:r>
        <w:r>
          <w:rPr>
            <w:rFonts w:eastAsiaTheme="minorEastAsia" w:cstheme="minorHAnsi"/>
          </w:rPr>
          <w:fldChar w:fldCharType="separate"/>
        </w:r>
        <w:r>
          <w:rPr>
            <w:rFonts w:eastAsiaTheme="minorEastAsia" w:cstheme="minorHAnsi"/>
          </w:rPr>
          <w:t>38</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85" w:tooltip="#_Toc168064885" w:history="1">
        <w:r>
          <w:rPr>
            <w:rStyle w:val="af3"/>
            <w:rFonts w:ascii="Times New Roman" w:eastAsiaTheme="minorEastAsia" w:hAnsi="Times New Roman" w:cstheme="minorHAnsi"/>
          </w:rPr>
          <w:t>Рис. 37.</w:t>
        </w:r>
        <w:r>
          <w:rPr>
            <w:rFonts w:eastAsiaTheme="minorEastAsia" w:cstheme="minorHAnsi"/>
            <w:lang w:val="uk-UA" w:eastAsia="uk-UA"/>
          </w:rPr>
          <w:tab/>
        </w:r>
        <w:r>
          <w:rPr>
            <w:rStyle w:val="af3"/>
            <w:rFonts w:ascii="Times New Roman" w:eastAsiaTheme="minorEastAsia" w:hAnsi="Times New Roman" w:cstheme="minorHAnsi"/>
          </w:rPr>
          <w:t>Питоме фактичне енергоспоживання на опалення закладів дошкільної освіти.</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_Toc168064885 \h </w:instrText>
        </w:r>
        <w:r>
          <w:rPr>
            <w:rFonts w:eastAsiaTheme="minorEastAsia" w:cstheme="minorHAnsi"/>
          </w:rPr>
        </w:r>
        <w:r>
          <w:rPr>
            <w:rFonts w:eastAsiaTheme="minorEastAsia" w:cstheme="minorHAnsi"/>
          </w:rPr>
          <w:fldChar w:fldCharType="separate"/>
        </w:r>
        <w:r>
          <w:rPr>
            <w:rFonts w:eastAsiaTheme="minorEastAsia" w:cstheme="minorHAnsi"/>
          </w:rPr>
          <w:t>41</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86" w:tooltip="#_Toc168064886" w:history="1">
        <w:r>
          <w:rPr>
            <w:rStyle w:val="af3"/>
            <w:rFonts w:ascii="Times New Roman" w:eastAsiaTheme="minorEastAsia" w:hAnsi="Times New Roman" w:cstheme="minorHAnsi"/>
          </w:rPr>
          <w:t>Рис. 38.</w:t>
        </w:r>
        <w:r>
          <w:rPr>
            <w:rFonts w:eastAsiaTheme="minorEastAsia" w:cstheme="minorHAnsi"/>
            <w:lang w:val="uk-UA" w:eastAsia="uk-UA"/>
          </w:rPr>
          <w:tab/>
        </w:r>
        <w:r>
          <w:rPr>
            <w:rStyle w:val="af3"/>
            <w:rFonts w:ascii="Times New Roman" w:eastAsiaTheme="minorEastAsia" w:hAnsi="Times New Roman" w:cstheme="minorHAnsi"/>
          </w:rPr>
          <w:t>Пит</w:t>
        </w:r>
        <w:r>
          <w:rPr>
            <w:rStyle w:val="af3"/>
            <w:rFonts w:ascii="Times New Roman" w:eastAsiaTheme="minorEastAsia" w:hAnsi="Times New Roman" w:cstheme="minorHAnsi"/>
          </w:rPr>
          <w:t>оме фактичне енергоспоживання на опалення закладів освіти</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_Toc168064886 \h </w:instrText>
        </w:r>
        <w:r>
          <w:rPr>
            <w:rFonts w:eastAsiaTheme="minorEastAsia" w:cstheme="minorHAnsi"/>
          </w:rPr>
        </w:r>
        <w:r>
          <w:rPr>
            <w:rFonts w:eastAsiaTheme="minorEastAsia" w:cstheme="minorHAnsi"/>
          </w:rPr>
          <w:fldChar w:fldCharType="separate"/>
        </w:r>
        <w:r>
          <w:rPr>
            <w:rFonts w:eastAsiaTheme="minorEastAsia" w:cstheme="minorHAnsi"/>
          </w:rPr>
          <w:t>41</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87" w:tooltip="#_Toc168064887" w:history="1">
        <w:r>
          <w:rPr>
            <w:rStyle w:val="af3"/>
            <w:rFonts w:ascii="Times New Roman" w:eastAsiaTheme="minorEastAsia" w:hAnsi="Times New Roman" w:cstheme="minorHAnsi"/>
          </w:rPr>
          <w:t>Рис. 39.</w:t>
        </w:r>
        <w:r>
          <w:rPr>
            <w:rFonts w:eastAsiaTheme="minorEastAsia" w:cstheme="minorHAnsi"/>
            <w:lang w:val="uk-UA" w:eastAsia="uk-UA"/>
          </w:rPr>
          <w:tab/>
        </w:r>
        <w:r>
          <w:rPr>
            <w:rStyle w:val="af3"/>
            <w:rFonts w:ascii="Times New Roman" w:eastAsiaTheme="minorEastAsia" w:hAnsi="Times New Roman" w:cstheme="minorHAnsi"/>
          </w:rPr>
          <w:t>Питоме фактичне енергоспоживання на опалення закладів охорони здоров'я</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_Toc168064887 \h </w:instrText>
        </w:r>
        <w:r>
          <w:rPr>
            <w:rFonts w:eastAsiaTheme="minorEastAsia" w:cstheme="minorHAnsi"/>
          </w:rPr>
        </w:r>
        <w:r>
          <w:rPr>
            <w:rFonts w:eastAsiaTheme="minorEastAsia" w:cstheme="minorHAnsi"/>
          </w:rPr>
          <w:fldChar w:fldCharType="separate"/>
        </w:r>
        <w:r>
          <w:rPr>
            <w:rFonts w:eastAsiaTheme="minorEastAsia" w:cstheme="minorHAnsi"/>
          </w:rPr>
          <w:t>42</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88" w:tooltip="#_Toc168064888" w:history="1">
        <w:r>
          <w:rPr>
            <w:rStyle w:val="af3"/>
            <w:rFonts w:ascii="Times New Roman" w:eastAsiaTheme="minorEastAsia" w:hAnsi="Times New Roman" w:cstheme="minorHAnsi"/>
          </w:rPr>
          <w:t>Рис. 40.</w:t>
        </w:r>
        <w:r>
          <w:rPr>
            <w:rFonts w:eastAsiaTheme="minorEastAsia" w:cstheme="minorHAnsi"/>
            <w:lang w:val="uk-UA" w:eastAsia="uk-UA"/>
          </w:rPr>
          <w:tab/>
        </w:r>
        <w:r>
          <w:rPr>
            <w:rStyle w:val="af3"/>
            <w:rFonts w:ascii="Times New Roman" w:eastAsiaTheme="minorEastAsia" w:hAnsi="Times New Roman" w:cstheme="minorHAnsi"/>
          </w:rPr>
          <w:t>Питоме фактичне енергоспожи</w:t>
        </w:r>
        <w:r>
          <w:rPr>
            <w:rStyle w:val="af3"/>
            <w:rFonts w:ascii="Times New Roman" w:eastAsiaTheme="minorEastAsia" w:hAnsi="Times New Roman" w:cstheme="minorHAnsi"/>
          </w:rPr>
          <w:t>вання на опалення для бюджетних будівель різного призначення</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_Toc168064888 \h </w:instrText>
        </w:r>
        <w:r>
          <w:rPr>
            <w:rFonts w:eastAsiaTheme="minorEastAsia" w:cstheme="minorHAnsi"/>
          </w:rPr>
        </w:r>
        <w:r>
          <w:rPr>
            <w:rFonts w:eastAsiaTheme="minorEastAsia" w:cstheme="minorHAnsi"/>
          </w:rPr>
          <w:fldChar w:fldCharType="separate"/>
        </w:r>
        <w:r>
          <w:rPr>
            <w:rFonts w:eastAsiaTheme="minorEastAsia" w:cstheme="minorHAnsi"/>
          </w:rPr>
          <w:t>42</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89" w:tooltip="#_Toc168064889" w:history="1">
        <w:r>
          <w:rPr>
            <w:rStyle w:val="af3"/>
            <w:rFonts w:ascii="Times New Roman" w:eastAsiaTheme="minorEastAsia" w:hAnsi="Times New Roman" w:cstheme="minorHAnsi"/>
          </w:rPr>
          <w:t>Рис. 41.</w:t>
        </w:r>
        <w:r>
          <w:rPr>
            <w:rFonts w:eastAsiaTheme="minorEastAsia" w:cstheme="minorHAnsi"/>
            <w:lang w:val="uk-UA" w:eastAsia="uk-UA"/>
          </w:rPr>
          <w:tab/>
        </w:r>
        <w:r>
          <w:rPr>
            <w:rStyle w:val="af3"/>
            <w:rFonts w:ascii="Times New Roman" w:eastAsiaTheme="minorEastAsia" w:hAnsi="Times New Roman" w:cstheme="minorHAnsi"/>
          </w:rPr>
          <w:t>Порівняння питомого фактичного та баз</w:t>
        </w:r>
        <w:r>
          <w:rPr>
            <w:rStyle w:val="af3"/>
            <w:rFonts w:ascii="Times New Roman" w:eastAsiaTheme="minorEastAsia" w:hAnsi="Times New Roman" w:cstheme="minorHAnsi"/>
          </w:rPr>
          <w:t>ового енергоспоживання на опалення закладів дошкільної освіти.</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_Toc168064889 \h </w:instrText>
        </w:r>
        <w:r>
          <w:rPr>
            <w:rFonts w:eastAsiaTheme="minorEastAsia" w:cstheme="minorHAnsi"/>
          </w:rPr>
        </w:r>
        <w:r>
          <w:rPr>
            <w:rFonts w:eastAsiaTheme="minorEastAsia" w:cstheme="minorHAnsi"/>
          </w:rPr>
          <w:fldChar w:fldCharType="separate"/>
        </w:r>
        <w:r>
          <w:rPr>
            <w:rFonts w:eastAsiaTheme="minorEastAsia" w:cstheme="minorHAnsi"/>
          </w:rPr>
          <w:t>43</w:t>
        </w:r>
        <w:r>
          <w:rPr>
            <w:rFonts w:eastAsiaTheme="minorEastAsia" w:cstheme="minorHAnsi"/>
          </w:rPr>
          <w:fldChar w:fldCharType="end"/>
        </w:r>
      </w:hyperlink>
    </w:p>
    <w:p w:rsidR="00275E65" w:rsidRDefault="00902217">
      <w:pPr>
        <w:pStyle w:val="11"/>
        <w:tabs>
          <w:tab w:val="left" w:pos="1100"/>
          <w:tab w:val="right" w:leader="hyphen" w:pos="9345"/>
        </w:tabs>
        <w:rPr>
          <w:rFonts w:eastAsiaTheme="minorEastAsia"/>
          <w:lang w:val="uk-UA" w:eastAsia="uk-UA"/>
        </w:rPr>
      </w:pPr>
      <w:hyperlink w:anchor="_Toc168064890" w:tooltip="#_Toc168064890" w:history="1">
        <w:r>
          <w:rPr>
            <w:rStyle w:val="af3"/>
            <w:rFonts w:ascii="Times New Roman" w:eastAsiaTheme="minorEastAsia" w:hAnsi="Times New Roman" w:cstheme="minorHAnsi"/>
          </w:rPr>
          <w:t>Рис. 42.</w:t>
        </w:r>
        <w:r>
          <w:rPr>
            <w:rFonts w:eastAsiaTheme="minorEastAsia" w:cstheme="minorHAnsi"/>
            <w:lang w:val="uk-UA" w:eastAsia="uk-UA"/>
          </w:rPr>
          <w:tab/>
        </w:r>
        <w:r>
          <w:rPr>
            <w:rStyle w:val="af3"/>
            <w:rFonts w:ascii="Times New Roman" w:eastAsiaTheme="minorEastAsia" w:hAnsi="Times New Roman" w:cstheme="minorHAnsi"/>
          </w:rPr>
          <w:t>Порівняння питомого фактичного та б</w:t>
        </w:r>
        <w:r>
          <w:rPr>
            <w:rStyle w:val="af3"/>
            <w:rFonts w:ascii="Times New Roman" w:eastAsiaTheme="minorEastAsia" w:hAnsi="Times New Roman" w:cstheme="minorHAnsi"/>
          </w:rPr>
          <w:t>азового енергоспоживання на опалення закладів освіти.</w:t>
        </w:r>
        <w:r>
          <w:rPr>
            <w:rFonts w:eastAsiaTheme="minorEastAsia" w:cstheme="minorHAnsi"/>
          </w:rPr>
          <w:tab/>
        </w:r>
        <w:r>
          <w:rPr>
            <w:rFonts w:eastAsiaTheme="minorEastAsia" w:cstheme="minorHAnsi"/>
            <w:lang w:val="uk-UA"/>
          </w:rPr>
          <w:t xml:space="preserve">                                                                                                                                                                 </w:t>
        </w:r>
        <w:r>
          <w:rPr>
            <w:rFonts w:eastAsiaTheme="minorEastAsia" w:cstheme="minorHAnsi"/>
          </w:rPr>
          <w:fldChar w:fldCharType="begin"/>
        </w:r>
        <w:r>
          <w:rPr>
            <w:rFonts w:eastAsiaTheme="minorEastAsia" w:cstheme="minorHAnsi"/>
          </w:rPr>
          <w:instrText xml:space="preserve"> PAGEREF _Toc168064890 \h </w:instrText>
        </w:r>
        <w:r>
          <w:rPr>
            <w:rFonts w:eastAsiaTheme="minorEastAsia" w:cstheme="minorHAnsi"/>
          </w:rPr>
        </w:r>
        <w:r>
          <w:rPr>
            <w:rFonts w:eastAsiaTheme="minorEastAsia" w:cstheme="minorHAnsi"/>
          </w:rPr>
          <w:fldChar w:fldCharType="separate"/>
        </w:r>
        <w:r>
          <w:rPr>
            <w:rFonts w:eastAsiaTheme="minorEastAsia" w:cstheme="minorHAnsi"/>
          </w:rPr>
          <w:t>43</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91" w:tooltip="#_Toc168064891" w:history="1">
        <w:r>
          <w:rPr>
            <w:rStyle w:val="af3"/>
            <w:rFonts w:ascii="Times New Roman" w:eastAsiaTheme="minorEastAsia" w:hAnsi="Times New Roman" w:cstheme="minorHAnsi"/>
          </w:rPr>
          <w:t>Рис. 1.</w:t>
        </w:r>
        <w:r>
          <w:rPr>
            <w:rFonts w:eastAsiaTheme="minorEastAsia" w:cstheme="minorHAnsi"/>
            <w:lang w:val="uk-UA" w:eastAsia="uk-UA"/>
          </w:rPr>
          <w:tab/>
        </w:r>
        <w:r>
          <w:rPr>
            <w:rStyle w:val="af3"/>
            <w:rFonts w:ascii="Times New Roman" w:eastAsiaTheme="minorEastAsia" w:hAnsi="Times New Roman" w:cstheme="minorHAnsi"/>
          </w:rPr>
          <w:t>Базова лінія споживання енергії сектору громадські будівлі.</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_Toc168064891 \h </w:instrText>
        </w:r>
        <w:r>
          <w:rPr>
            <w:rFonts w:eastAsiaTheme="minorEastAsia" w:cstheme="minorHAnsi"/>
          </w:rPr>
        </w:r>
        <w:r>
          <w:rPr>
            <w:rFonts w:eastAsiaTheme="minorEastAsia" w:cstheme="minorHAnsi"/>
          </w:rPr>
          <w:fldChar w:fldCharType="separate"/>
        </w:r>
        <w:r>
          <w:rPr>
            <w:rFonts w:eastAsiaTheme="minorEastAsia" w:cstheme="minorHAnsi"/>
          </w:rPr>
          <w:t>50</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92" w:tooltip="#_Toc168064892" w:history="1">
        <w:r>
          <w:rPr>
            <w:rStyle w:val="af3"/>
            <w:rFonts w:ascii="Times New Roman" w:eastAsiaTheme="minorEastAsia" w:hAnsi="Times New Roman" w:cstheme="minorHAnsi"/>
          </w:rPr>
          <w:t>Рис. 2.</w:t>
        </w:r>
        <w:r>
          <w:rPr>
            <w:rFonts w:eastAsiaTheme="minorEastAsia" w:cstheme="minorHAnsi"/>
            <w:lang w:val="uk-UA" w:eastAsia="uk-UA"/>
          </w:rPr>
          <w:tab/>
        </w:r>
        <w:r>
          <w:rPr>
            <w:rStyle w:val="af3"/>
            <w:rFonts w:ascii="Times New Roman" w:eastAsiaTheme="minorEastAsia" w:hAnsi="Times New Roman" w:cstheme="minorHAnsi"/>
          </w:rPr>
          <w:t>Базова лінія споживання енергії сектору житлові будівлі.</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_Toc168064892 \h </w:instrText>
        </w:r>
        <w:r>
          <w:rPr>
            <w:rFonts w:eastAsiaTheme="minorEastAsia" w:cstheme="minorHAnsi"/>
          </w:rPr>
        </w:r>
        <w:r>
          <w:rPr>
            <w:rFonts w:eastAsiaTheme="minorEastAsia" w:cstheme="minorHAnsi"/>
          </w:rPr>
          <w:fldChar w:fldCharType="separate"/>
        </w:r>
        <w:r>
          <w:rPr>
            <w:rFonts w:eastAsiaTheme="minorEastAsia" w:cstheme="minorHAnsi"/>
          </w:rPr>
          <w:t>50</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93" w:tooltip="#_Toc168064893" w:history="1">
        <w:r>
          <w:rPr>
            <w:rStyle w:val="af3"/>
            <w:rFonts w:ascii="Times New Roman" w:eastAsiaTheme="minorEastAsia" w:hAnsi="Times New Roman" w:cstheme="minorHAnsi"/>
          </w:rPr>
          <w:t>Рис. 3.</w:t>
        </w:r>
        <w:r>
          <w:rPr>
            <w:rFonts w:eastAsiaTheme="minorEastAsia" w:cstheme="minorHAnsi"/>
            <w:lang w:val="uk-UA" w:eastAsia="uk-UA"/>
          </w:rPr>
          <w:tab/>
        </w:r>
        <w:r>
          <w:rPr>
            <w:rStyle w:val="af3"/>
            <w:rFonts w:ascii="Times New Roman" w:eastAsiaTheme="minorEastAsia" w:hAnsi="Times New Roman" w:cstheme="minorHAnsi"/>
          </w:rPr>
          <w:t>Базова лінія споживання енергії сектору теплопостачання.</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_Toc168064893 \h </w:instrText>
        </w:r>
        <w:r>
          <w:rPr>
            <w:rFonts w:eastAsiaTheme="minorEastAsia" w:cstheme="minorHAnsi"/>
          </w:rPr>
        </w:r>
        <w:r>
          <w:rPr>
            <w:rFonts w:eastAsiaTheme="minorEastAsia" w:cstheme="minorHAnsi"/>
          </w:rPr>
          <w:fldChar w:fldCharType="separate"/>
        </w:r>
        <w:r>
          <w:rPr>
            <w:rFonts w:eastAsiaTheme="minorEastAsia" w:cstheme="minorHAnsi"/>
          </w:rPr>
          <w:t>51</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94" w:tooltip="#_Toc168064894" w:history="1">
        <w:r>
          <w:rPr>
            <w:rStyle w:val="af3"/>
            <w:rFonts w:ascii="Times New Roman" w:eastAsiaTheme="minorEastAsia" w:hAnsi="Times New Roman" w:cstheme="minorHAnsi"/>
          </w:rPr>
          <w:t>Рис. 4.</w:t>
        </w:r>
        <w:r>
          <w:rPr>
            <w:rFonts w:eastAsiaTheme="minorEastAsia" w:cstheme="minorHAnsi"/>
            <w:lang w:val="uk-UA" w:eastAsia="uk-UA"/>
          </w:rPr>
          <w:tab/>
        </w:r>
        <w:r>
          <w:rPr>
            <w:rStyle w:val="af3"/>
            <w:rFonts w:ascii="Times New Roman" w:eastAsiaTheme="minorEastAsia" w:hAnsi="Times New Roman" w:cstheme="minorHAnsi"/>
          </w:rPr>
          <w:t>Базова лінія споживання енергії сектору водопостачання і водовідведення.</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_Toc168064894 \h </w:instrText>
        </w:r>
        <w:r>
          <w:rPr>
            <w:rFonts w:eastAsiaTheme="minorEastAsia" w:cstheme="minorHAnsi"/>
          </w:rPr>
        </w:r>
        <w:r>
          <w:rPr>
            <w:rFonts w:eastAsiaTheme="minorEastAsia" w:cstheme="minorHAnsi"/>
          </w:rPr>
          <w:fldChar w:fldCharType="separate"/>
        </w:r>
        <w:r>
          <w:rPr>
            <w:rFonts w:eastAsiaTheme="minorEastAsia" w:cstheme="minorHAnsi"/>
          </w:rPr>
          <w:t>51</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95" w:tooltip="#_Toc168064895" w:history="1">
        <w:r>
          <w:rPr>
            <w:rStyle w:val="af3"/>
            <w:rFonts w:ascii="Times New Roman" w:eastAsiaTheme="minorEastAsia" w:hAnsi="Times New Roman" w:cstheme="minorHAnsi"/>
          </w:rPr>
          <w:t>Рис. 5.</w:t>
        </w:r>
        <w:r>
          <w:rPr>
            <w:rFonts w:eastAsiaTheme="minorEastAsia" w:cstheme="minorHAnsi"/>
            <w:lang w:val="uk-UA" w:eastAsia="uk-UA"/>
          </w:rPr>
          <w:tab/>
        </w:r>
        <w:r>
          <w:rPr>
            <w:rStyle w:val="af3"/>
            <w:rFonts w:ascii="Times New Roman" w:eastAsiaTheme="minorEastAsia" w:hAnsi="Times New Roman" w:cstheme="minorHAnsi"/>
          </w:rPr>
          <w:t>Базова лінія споживання енергії сектору управління побутовими відходами.</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_Toc168064895 \h </w:instrText>
        </w:r>
        <w:r>
          <w:rPr>
            <w:rFonts w:eastAsiaTheme="minorEastAsia" w:cstheme="minorHAnsi"/>
          </w:rPr>
        </w:r>
        <w:r>
          <w:rPr>
            <w:rFonts w:eastAsiaTheme="minorEastAsia" w:cstheme="minorHAnsi"/>
          </w:rPr>
          <w:fldChar w:fldCharType="separate"/>
        </w:r>
        <w:r>
          <w:rPr>
            <w:rFonts w:eastAsiaTheme="minorEastAsia" w:cstheme="minorHAnsi"/>
          </w:rPr>
          <w:t>51</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96" w:tooltip="#_Toc168064896" w:history="1">
        <w:r>
          <w:rPr>
            <w:rStyle w:val="af3"/>
            <w:rFonts w:ascii="Times New Roman" w:eastAsiaTheme="minorEastAsia" w:hAnsi="Times New Roman" w:cstheme="minorHAnsi"/>
          </w:rPr>
          <w:t>Рис. 6.</w:t>
        </w:r>
        <w:r>
          <w:rPr>
            <w:rFonts w:eastAsiaTheme="minorEastAsia" w:cstheme="minorHAnsi"/>
            <w:lang w:val="uk-UA" w:eastAsia="uk-UA"/>
          </w:rPr>
          <w:tab/>
        </w:r>
        <w:r>
          <w:rPr>
            <w:rStyle w:val="af3"/>
            <w:rFonts w:ascii="Times New Roman" w:eastAsiaTheme="minorEastAsia" w:hAnsi="Times New Roman" w:cstheme="minorHAnsi"/>
          </w:rPr>
          <w:t>Базова лінія споживання енергії зовнішнє освітлення.</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_Toc168064896 \h </w:instrText>
        </w:r>
        <w:r>
          <w:rPr>
            <w:rFonts w:eastAsiaTheme="minorEastAsia" w:cstheme="minorHAnsi"/>
          </w:rPr>
        </w:r>
        <w:r>
          <w:rPr>
            <w:rFonts w:eastAsiaTheme="minorEastAsia" w:cstheme="minorHAnsi"/>
          </w:rPr>
          <w:fldChar w:fldCharType="separate"/>
        </w:r>
        <w:r>
          <w:rPr>
            <w:rFonts w:eastAsiaTheme="minorEastAsia" w:cstheme="minorHAnsi"/>
          </w:rPr>
          <w:t>52</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97" w:tooltip="#_Toc168064897" w:history="1">
        <w:r>
          <w:rPr>
            <w:rStyle w:val="af3"/>
            <w:rFonts w:ascii="Times New Roman" w:eastAsiaTheme="minorEastAsia" w:hAnsi="Times New Roman" w:cstheme="minorHAnsi"/>
          </w:rPr>
          <w:t>Рис. 7.</w:t>
        </w:r>
        <w:r>
          <w:rPr>
            <w:rFonts w:eastAsiaTheme="minorEastAsia" w:cstheme="minorHAnsi"/>
            <w:lang w:val="uk-UA" w:eastAsia="uk-UA"/>
          </w:rPr>
          <w:tab/>
        </w:r>
        <w:r>
          <w:rPr>
            <w:rStyle w:val="af3"/>
            <w:rFonts w:ascii="Times New Roman" w:eastAsiaTheme="minorEastAsia" w:hAnsi="Times New Roman" w:cstheme="minorHAnsi"/>
          </w:rPr>
          <w:t>Базова лінія споживання енергії громадський транспорт.</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_Toc168064897 \h </w:instrText>
        </w:r>
        <w:r>
          <w:rPr>
            <w:rFonts w:eastAsiaTheme="minorEastAsia" w:cstheme="minorHAnsi"/>
          </w:rPr>
        </w:r>
        <w:r>
          <w:rPr>
            <w:rFonts w:eastAsiaTheme="minorEastAsia" w:cstheme="minorHAnsi"/>
          </w:rPr>
          <w:fldChar w:fldCharType="separate"/>
        </w:r>
        <w:r>
          <w:rPr>
            <w:rFonts w:eastAsiaTheme="minorEastAsia" w:cstheme="minorHAnsi"/>
          </w:rPr>
          <w:t>52</w:t>
        </w:r>
        <w:r>
          <w:rPr>
            <w:rFonts w:eastAsiaTheme="minorEastAsia" w:cstheme="minorHAnsi"/>
          </w:rPr>
          <w:fldChar w:fldCharType="end"/>
        </w:r>
      </w:hyperlink>
    </w:p>
    <w:p w:rsidR="00275E65" w:rsidRDefault="00902217">
      <w:pPr>
        <w:pStyle w:val="11"/>
        <w:tabs>
          <w:tab w:val="left" w:pos="880"/>
          <w:tab w:val="right" w:leader="hyphen" w:pos="9345"/>
        </w:tabs>
        <w:rPr>
          <w:rFonts w:eastAsiaTheme="minorEastAsia"/>
          <w:lang w:val="uk-UA" w:eastAsia="uk-UA"/>
        </w:rPr>
      </w:pPr>
      <w:hyperlink w:anchor="_Toc168064898" w:tooltip="#_Toc168064898" w:history="1">
        <w:r>
          <w:rPr>
            <w:rStyle w:val="af3"/>
            <w:rFonts w:ascii="Times New Roman" w:eastAsiaTheme="minorEastAsia" w:hAnsi="Times New Roman" w:cstheme="minorHAnsi"/>
          </w:rPr>
          <w:t>Рис. 8.</w:t>
        </w:r>
        <w:r>
          <w:rPr>
            <w:rFonts w:eastAsiaTheme="minorEastAsia" w:cstheme="minorHAnsi"/>
            <w:lang w:val="uk-UA" w:eastAsia="uk-UA"/>
          </w:rPr>
          <w:tab/>
        </w:r>
        <w:r>
          <w:rPr>
            <w:rStyle w:val="af3"/>
            <w:rFonts w:ascii="Times New Roman" w:eastAsiaTheme="minorEastAsia" w:hAnsi="Times New Roman" w:cstheme="minorHAnsi"/>
          </w:rPr>
          <w:t>Базова лінія споживання енергії всієї громад</w:t>
        </w:r>
        <w:r>
          <w:rPr>
            <w:rStyle w:val="af3"/>
            <w:rFonts w:ascii="Times New Roman" w:eastAsiaTheme="minorEastAsia" w:hAnsi="Times New Roman" w:cstheme="minorHAnsi"/>
          </w:rPr>
          <w:t>и</w:t>
        </w:r>
        <w:r>
          <w:rPr>
            <w:rFonts w:eastAsiaTheme="minorEastAsia" w:cstheme="minorHAnsi"/>
          </w:rPr>
          <w:tab/>
        </w:r>
        <w:r>
          <w:rPr>
            <w:rFonts w:eastAsiaTheme="minorEastAsia" w:cstheme="minorHAnsi"/>
          </w:rPr>
          <w:fldChar w:fldCharType="begin"/>
        </w:r>
        <w:r>
          <w:rPr>
            <w:rFonts w:eastAsiaTheme="minorEastAsia" w:cstheme="minorHAnsi"/>
          </w:rPr>
          <w:instrText xml:space="preserve"> PAGEREF _Toc168064898 \h </w:instrText>
        </w:r>
        <w:r>
          <w:rPr>
            <w:rFonts w:eastAsiaTheme="minorEastAsia" w:cstheme="minorHAnsi"/>
          </w:rPr>
        </w:r>
        <w:r>
          <w:rPr>
            <w:rFonts w:eastAsiaTheme="minorEastAsia" w:cstheme="minorHAnsi"/>
          </w:rPr>
          <w:fldChar w:fldCharType="separate"/>
        </w:r>
        <w:r>
          <w:rPr>
            <w:rFonts w:eastAsiaTheme="minorEastAsia" w:cstheme="minorHAnsi"/>
          </w:rPr>
          <w:t>52</w:t>
        </w:r>
        <w:r>
          <w:rPr>
            <w:rFonts w:eastAsiaTheme="minorEastAsia" w:cstheme="minorHAnsi"/>
          </w:rPr>
          <w:fldChar w:fldCharType="end"/>
        </w:r>
      </w:hyperlink>
    </w:p>
    <w:p w:rsidR="00275E65" w:rsidRDefault="00902217">
      <w:pPr>
        <w:pStyle w:val="Arord"/>
        <w:tabs>
          <w:tab w:val="left" w:pos="709"/>
        </w:tabs>
        <w:spacing w:after="0" w:line="276" w:lineRule="auto"/>
        <w:rPr>
          <w:rFonts w:ascii="Times New Roman" w:hAnsi="Times New Roman" w:cs="Times New Roman"/>
          <w:sz w:val="22"/>
        </w:rPr>
      </w:pPr>
      <w:r>
        <w:rPr>
          <w:rFonts w:ascii="Times New Roman" w:eastAsiaTheme="minorEastAsia" w:hAnsi="Times New Roman" w:cstheme="minorHAnsi"/>
          <w:sz w:val="22"/>
        </w:rPr>
        <w:fldChar w:fldCharType="end"/>
      </w:r>
    </w:p>
    <w:p w:rsidR="00275E65" w:rsidRDefault="00902217">
      <w:pPr>
        <w:tabs>
          <w:tab w:val="left" w:pos="709"/>
        </w:tabs>
        <w:spacing w:after="0" w:line="276" w:lineRule="auto"/>
        <w:ind w:firstLine="567"/>
        <w:rPr>
          <w:rFonts w:ascii="Times New Roman" w:hAnsi="Times New Roman" w:cs="Times New Roman"/>
          <w:lang w:val="uk-UA"/>
        </w:rPr>
      </w:pPr>
      <w:r>
        <w:rPr>
          <w:rFonts w:ascii="Times New Roman" w:eastAsiaTheme="minorEastAsia" w:hAnsi="Times New Roman" w:cstheme="minorHAnsi"/>
          <w:lang w:val="uk-UA"/>
        </w:rPr>
        <w:br w:type="page"/>
      </w:r>
    </w:p>
    <w:p w:rsidR="00275E65" w:rsidRDefault="00902217">
      <w:pPr>
        <w:pStyle w:val="ArHead1"/>
        <w:tabs>
          <w:tab w:val="left" w:pos="709"/>
        </w:tabs>
        <w:spacing w:after="0" w:line="276" w:lineRule="auto"/>
        <w:ind w:left="0" w:firstLine="567"/>
        <w:rPr>
          <w:rFonts w:ascii="Times New Roman" w:hAnsi="Times New Roman" w:cs="Times New Roman"/>
          <w:sz w:val="22"/>
        </w:rPr>
      </w:pPr>
      <w:bookmarkStart w:id="1" w:name="_Toc168064799"/>
      <w:r>
        <w:rPr>
          <w:rFonts w:ascii="Times New Roman" w:eastAsiaTheme="minorEastAsia" w:hAnsi="Times New Roman" w:cstheme="minorHAnsi"/>
          <w:sz w:val="22"/>
        </w:rPr>
        <w:lastRenderedPageBreak/>
        <w:t>Вступ</w:t>
      </w:r>
      <w:bookmarkEnd w:id="1"/>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Цей муніципальний енергетичний план розроблено на виконання Закону України «Про енергоефективність» № 1818-IX від 21 жовтня 2021 року та згідно </w:t>
      </w:r>
      <w:r>
        <w:rPr>
          <w:rFonts w:ascii="Times New Roman" w:eastAsiaTheme="minorEastAsia" w:hAnsi="Times New Roman" w:cstheme="minorHAnsi"/>
          <w:sz w:val="22"/>
        </w:rPr>
        <w:t>проекту «Порядку розроблення та оновлення місцевих енергетичних планів» розробленому Міністерством розвитку громад, територій та інфраструктури України (Мінінфраструктури).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Цей документ розроблено проектом Strategic Technical Assistance in Reforms Towards </w:t>
      </w:r>
      <w:r>
        <w:rPr>
          <w:rFonts w:ascii="Times New Roman" w:eastAsiaTheme="minorEastAsia" w:hAnsi="Times New Roman" w:cstheme="minorHAnsi"/>
          <w:sz w:val="22"/>
        </w:rPr>
        <w:t>Energy Efficiency and Renewables (STARTER) (EuropeAid/140340/DH/SER/UA). Проект реалізується під керівництвом Представництва ЄС в Україні.</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Загальною метою проекту є підтримка подальшого впровадження реформ в енергетичному секторі України, впровадження сист</w:t>
      </w:r>
      <w:r>
        <w:rPr>
          <w:rFonts w:ascii="Times New Roman" w:eastAsiaTheme="minorEastAsia" w:hAnsi="Times New Roman" w:cstheme="minorHAnsi"/>
          <w:sz w:val="22"/>
        </w:rPr>
        <w:t>емних змін та сприятливих умов для залучення інвестицій в ЕЕ та ВДЕ, посилення співпраці з усіма зацікавленими сторонами у сфері сталої енергетики, зміцнення фінансової стійкості та забезпечення більшої прозорості та екологічної обізнаності у сфері енергое</w:t>
      </w:r>
      <w:r>
        <w:rPr>
          <w:rFonts w:ascii="Times New Roman" w:eastAsiaTheme="minorEastAsia" w:hAnsi="Times New Roman" w:cstheme="minorHAnsi"/>
          <w:sz w:val="22"/>
        </w:rPr>
        <w:t xml:space="preserve">фективності відповідно до зобов'язань України в рамках Угоди про асоціацію між Україною та ЄС та Договору про заснування Енергетичного Співтовариства.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Одним із завдань Проекту STARTER визначено надання юридичної та методологічної допомоги громадам у розро</w:t>
      </w:r>
      <w:r>
        <w:rPr>
          <w:rFonts w:ascii="Times New Roman" w:eastAsiaTheme="minorEastAsia" w:hAnsi="Times New Roman" w:cstheme="minorHAnsi"/>
          <w:sz w:val="22"/>
        </w:rPr>
        <w:t>бці місцевих (муніципальних) енергетичних планів (МЕП).</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Для пілотного проекту з розробки муніципального енергетичного плану Проектом STARTER разом з Проектом Угода мерів - Схід (CoM East)  було обрано Носівську міську територіальну громаду (Чернігівська об</w:t>
      </w:r>
      <w:r>
        <w:rPr>
          <w:rFonts w:ascii="Times New Roman" w:eastAsiaTheme="minorEastAsia" w:hAnsi="Times New Roman" w:cstheme="minorHAnsi"/>
          <w:sz w:val="22"/>
        </w:rPr>
        <w:t>л.).</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Місцевий (муніципальний) енергетичний план є документом стратегічного планування, що визначає довгострокові цілі сталого енергетичного розвитку певної території й об’єктів в межах такої території, та містить обґрунтовані заходи, спрямовані на їх досяг</w:t>
      </w:r>
      <w:r>
        <w:rPr>
          <w:rFonts w:ascii="Times New Roman" w:eastAsiaTheme="minorEastAsia" w:hAnsi="Times New Roman" w:cstheme="minorHAnsi"/>
          <w:sz w:val="22"/>
        </w:rPr>
        <w:t>нення, з урахуванням національних цілей з енергоефективності, розвитку відновлюваних джерел енергії та інших цілей, які пов'язані з використанням енергії та визначені законодавством.</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Під час розробки цього муніципального енергетичного плану Проект STARTER провів навчання представників Носівської громади та представників інших громад Чернігівської області методам та підходам до розробки МЕП, визначив проблеми з якими можуть стикатися ін</w:t>
      </w:r>
      <w:r>
        <w:rPr>
          <w:rFonts w:ascii="Times New Roman" w:eastAsiaTheme="minorEastAsia" w:hAnsi="Times New Roman" w:cstheme="minorHAnsi"/>
          <w:sz w:val="22"/>
        </w:rPr>
        <w:t xml:space="preserve">ші громади під час розробки та надав можливі шляхи їх рішення, що може бути використано для вдосконалення «Порядку розроблення та оновлення місцевих енергетичних планів». </w:t>
      </w:r>
    </w:p>
    <w:p w:rsidR="00275E65" w:rsidRDefault="00902217">
      <w:pPr>
        <w:tabs>
          <w:tab w:val="left" w:pos="709"/>
        </w:tabs>
        <w:spacing w:after="0" w:line="276" w:lineRule="auto"/>
        <w:ind w:firstLine="567"/>
        <w:rPr>
          <w:rFonts w:ascii="Times New Roman" w:hAnsi="Times New Roman" w:cs="Times New Roman"/>
          <w:b/>
          <w:color w:val="44546A"/>
          <w:lang w:val="uk-UA"/>
        </w:rPr>
      </w:pPr>
      <w:r>
        <w:rPr>
          <w:rFonts w:ascii="Times New Roman" w:eastAsiaTheme="minorEastAsia" w:hAnsi="Times New Roman" w:cstheme="minorHAnsi"/>
          <w:lang w:val="uk-UA"/>
        </w:rPr>
        <w:br w:type="page"/>
      </w:r>
    </w:p>
    <w:p w:rsidR="00275E65" w:rsidRDefault="00902217">
      <w:pPr>
        <w:pStyle w:val="ArHead1"/>
        <w:tabs>
          <w:tab w:val="left" w:pos="709"/>
        </w:tabs>
        <w:spacing w:after="0" w:line="276" w:lineRule="auto"/>
        <w:ind w:left="0" w:firstLine="567"/>
        <w:rPr>
          <w:rFonts w:ascii="Times New Roman" w:hAnsi="Times New Roman" w:cs="Times New Roman"/>
          <w:sz w:val="22"/>
        </w:rPr>
      </w:pPr>
      <w:bookmarkStart w:id="2" w:name="_Toc168064800"/>
      <w:r>
        <w:rPr>
          <w:rFonts w:ascii="Times New Roman" w:eastAsiaTheme="minorEastAsia" w:hAnsi="Times New Roman" w:cstheme="minorHAnsi"/>
          <w:sz w:val="22"/>
        </w:rPr>
        <w:lastRenderedPageBreak/>
        <w:t>Резюме МЕП</w:t>
      </w:r>
      <w:bookmarkEnd w:id="2"/>
    </w:p>
    <w:p w:rsidR="00275E65" w:rsidRDefault="00902217">
      <w:pPr>
        <w:pStyle w:val="Arord"/>
        <w:tabs>
          <w:tab w:val="left" w:pos="709"/>
        </w:tabs>
        <w:spacing w:after="0" w:line="276" w:lineRule="auto"/>
        <w:rPr>
          <w:rFonts w:ascii="Times New Roman" w:hAnsi="Times New Roman" w:cs="Times New Roman"/>
          <w:sz w:val="22"/>
        </w:rPr>
      </w:pPr>
      <w:r>
        <w:rPr>
          <w:rFonts w:ascii="Times New Roman" w:eastAsiaTheme="minorEastAsia" w:hAnsi="Times New Roman" w:cstheme="minorHAnsi"/>
          <w:sz w:val="22"/>
        </w:rPr>
        <w:tab/>
        <w:t>Проєкт муніципального енергетичного плану Носівської громади розроблен</w:t>
      </w:r>
      <w:r>
        <w:rPr>
          <w:rFonts w:ascii="Times New Roman" w:eastAsiaTheme="minorEastAsia" w:hAnsi="Times New Roman" w:cstheme="minorHAnsi"/>
          <w:sz w:val="22"/>
        </w:rPr>
        <w:t>о виходячи з реальної потреби у підвищені енергетичної безпеки, впроваджені технологій які уже застосовуються та показують результати з економії енергії.  Головними секторами, що були вибрані для реалізації проектів це бюджетний, який буде фінансуватися за</w:t>
      </w:r>
      <w:r>
        <w:rPr>
          <w:rFonts w:ascii="Times New Roman" w:eastAsiaTheme="minorEastAsia" w:hAnsi="Times New Roman" w:cstheme="minorHAnsi"/>
          <w:sz w:val="22"/>
        </w:rPr>
        <w:t xml:space="preserve"> кошти місцевого бюджету та донорські кошти, а також житловий, який буде фінансуватися за кошти громади та приватні кошти власників житла.</w:t>
      </w:r>
    </w:p>
    <w:p w:rsidR="00275E65" w:rsidRDefault="00902217">
      <w:pPr>
        <w:pStyle w:val="Arord"/>
        <w:tabs>
          <w:tab w:val="left" w:pos="709"/>
        </w:tabs>
        <w:spacing w:after="0" w:line="276" w:lineRule="auto"/>
        <w:rPr>
          <w:rFonts w:ascii="Times New Roman" w:hAnsi="Times New Roman" w:cs="Times New Roman"/>
          <w:sz w:val="22"/>
        </w:rPr>
      </w:pPr>
      <w:r>
        <w:rPr>
          <w:rFonts w:ascii="Times New Roman" w:eastAsiaTheme="minorEastAsia" w:hAnsi="Times New Roman" w:cstheme="minorHAnsi"/>
          <w:sz w:val="22"/>
        </w:rPr>
        <w:tab/>
        <w:t>Житловий сектор буде в першу чергу стимулюватися місцевою владою програмами, що мають активізувати процеси утеплення</w:t>
      </w:r>
      <w:r>
        <w:rPr>
          <w:rFonts w:ascii="Times New Roman" w:eastAsiaTheme="minorEastAsia" w:hAnsi="Times New Roman" w:cstheme="minorHAnsi"/>
          <w:sz w:val="22"/>
        </w:rPr>
        <w:t xml:space="preserve">, відходу від використання викопного палива та перехід на відновлювальні джерела енергії. Даний сектор споживає левову частку енергії, тому його важливість критична для громади у досягненні цілей зі зменшення споживання енергії. </w:t>
      </w:r>
    </w:p>
    <w:p w:rsidR="00275E65" w:rsidRDefault="00902217">
      <w:pPr>
        <w:pStyle w:val="Arord"/>
        <w:tabs>
          <w:tab w:val="left" w:pos="709"/>
        </w:tabs>
        <w:spacing w:after="0" w:line="276" w:lineRule="auto"/>
        <w:rPr>
          <w:rFonts w:ascii="Times New Roman" w:hAnsi="Times New Roman" w:cs="Times New Roman"/>
          <w:sz w:val="22"/>
        </w:rPr>
      </w:pPr>
      <w:r>
        <w:rPr>
          <w:rFonts w:ascii="Times New Roman" w:eastAsiaTheme="minorEastAsia" w:hAnsi="Times New Roman" w:cstheme="minorHAnsi"/>
          <w:sz w:val="22"/>
        </w:rPr>
        <w:t>Щороку в сферу енергоефект</w:t>
      </w:r>
      <w:r>
        <w:rPr>
          <w:rFonts w:ascii="Times New Roman" w:eastAsiaTheme="minorEastAsia" w:hAnsi="Times New Roman" w:cstheme="minorHAnsi"/>
          <w:sz w:val="22"/>
        </w:rPr>
        <w:t>ивносі та відновлювальних джерел енергії потрібно інвестуивати близько 20 млн. грн. у цінах 2023 року для досягнення вставнолених цілей.</w:t>
      </w:r>
    </w:p>
    <w:p w:rsidR="00275E65" w:rsidRDefault="00902217">
      <w:pPr>
        <w:pStyle w:val="Arord"/>
        <w:tabs>
          <w:tab w:val="left" w:pos="709"/>
        </w:tabs>
        <w:spacing w:after="0" w:line="276" w:lineRule="auto"/>
        <w:rPr>
          <w:rFonts w:ascii="Times New Roman" w:hAnsi="Times New Roman" w:cs="Times New Roman"/>
          <w:sz w:val="22"/>
        </w:rPr>
      </w:pPr>
      <w:r>
        <w:rPr>
          <w:rFonts w:ascii="Times New Roman" w:eastAsiaTheme="minorEastAsia" w:hAnsi="Times New Roman" w:cstheme="minorHAnsi"/>
          <w:sz w:val="22"/>
        </w:rPr>
        <w:t>Цілі вставнолені на рівні 7% по скороченню енергоспоживання, або 13741 МВт*год, та 10, 7% або 21120 МВт*год по виробниц</w:t>
      </w:r>
      <w:r>
        <w:rPr>
          <w:rFonts w:ascii="Times New Roman" w:eastAsiaTheme="minorEastAsia" w:hAnsi="Times New Roman" w:cstheme="minorHAnsi"/>
          <w:sz w:val="22"/>
        </w:rPr>
        <w:t>тво енергії з відновлювальних джерел енергії. Найбільше енергії буде зекномлено у житловому секорі  - 7031 МВт*год, та бюджетномусетеорі – 6648 МВТ*год. Найбільше виробництво відновлюваної енергетики буде у сфері теплопостачання  -13250 МВТ*год, які будуть</w:t>
      </w:r>
      <w:r>
        <w:rPr>
          <w:rFonts w:ascii="Times New Roman" w:eastAsiaTheme="minorEastAsia" w:hAnsi="Times New Roman" w:cstheme="minorHAnsi"/>
          <w:sz w:val="22"/>
        </w:rPr>
        <w:t xml:space="preserve"> рівномірно розподілені між житловим та бюджетним ектором та у сфері електропостачання житлових будинків.</w:t>
      </w:r>
    </w:p>
    <w:p w:rsidR="00275E65" w:rsidRDefault="00902217">
      <w:pPr>
        <w:tabs>
          <w:tab w:val="left" w:pos="709"/>
        </w:tabs>
        <w:spacing w:after="0" w:line="276" w:lineRule="auto"/>
        <w:ind w:firstLine="567"/>
        <w:rPr>
          <w:rFonts w:ascii="Times New Roman" w:hAnsi="Times New Roman" w:cs="Times New Roman"/>
          <w:b/>
          <w:color w:val="44546A"/>
          <w:lang w:val="uk-UA"/>
        </w:rPr>
      </w:pPr>
      <w:r>
        <w:rPr>
          <w:rFonts w:ascii="Times New Roman" w:eastAsiaTheme="minorEastAsia" w:hAnsi="Times New Roman" w:cstheme="minorHAnsi"/>
          <w:lang w:val="uk-UA"/>
        </w:rPr>
        <w:br w:type="page"/>
      </w:r>
    </w:p>
    <w:p w:rsidR="00275E65" w:rsidRDefault="00902217">
      <w:pPr>
        <w:pStyle w:val="ArHead1"/>
        <w:tabs>
          <w:tab w:val="left" w:pos="709"/>
        </w:tabs>
        <w:spacing w:after="0" w:line="276" w:lineRule="auto"/>
        <w:ind w:left="0" w:firstLine="567"/>
        <w:rPr>
          <w:rFonts w:ascii="Times New Roman" w:hAnsi="Times New Roman" w:cs="Times New Roman"/>
          <w:sz w:val="22"/>
        </w:rPr>
      </w:pPr>
      <w:bookmarkStart w:id="3" w:name="_Toc168064801"/>
      <w:r>
        <w:rPr>
          <w:rFonts w:ascii="Times New Roman" w:eastAsiaTheme="minorEastAsia" w:hAnsi="Times New Roman" w:cstheme="minorHAnsi"/>
          <w:sz w:val="22"/>
        </w:rPr>
        <w:lastRenderedPageBreak/>
        <w:t>Аналіз вихідного стану енергетичного розвитку територіальної громади</w:t>
      </w:r>
      <w:bookmarkEnd w:id="3"/>
      <w:r>
        <w:rPr>
          <w:rFonts w:ascii="Times New Roman" w:eastAsiaTheme="minorEastAsia" w:hAnsi="Times New Roman" w:cstheme="minorHAnsi"/>
          <w:sz w:val="22"/>
        </w:rPr>
        <w:t xml:space="preserve"> </w:t>
      </w: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Відповідно Проекту Методики розробки місцевих енергетичних планів (далі Метод</w:t>
      </w:r>
      <w:r>
        <w:rPr>
          <w:rFonts w:ascii="Times New Roman" w:eastAsiaTheme="minorEastAsia" w:hAnsi="Times New Roman" w:cstheme="minorHAnsi"/>
          <w:sz w:val="22"/>
        </w:rPr>
        <w:t>ика МЕП) - аналіз вихідного стану енергетичного розвитку територіальної громади здійснюється шляхом:</w:t>
      </w:r>
    </w:p>
    <w:p w:rsidR="00275E65" w:rsidRDefault="00902217">
      <w:pPr>
        <w:pStyle w:val="Arord"/>
        <w:numPr>
          <w:ilvl w:val="0"/>
          <w:numId w:val="4"/>
        </w:numPr>
        <w:tabs>
          <w:tab w:val="left" w:pos="709"/>
        </w:tabs>
        <w:spacing w:after="0" w:line="276" w:lineRule="auto"/>
        <w:ind w:left="0" w:firstLine="567"/>
        <w:rPr>
          <w:rFonts w:ascii="Times New Roman" w:hAnsi="Times New Roman" w:cs="Times New Roman"/>
          <w:b/>
          <w:bCs/>
          <w:i/>
          <w:iCs/>
          <w:sz w:val="22"/>
        </w:rPr>
      </w:pPr>
      <w:r>
        <w:rPr>
          <w:rFonts w:ascii="Times New Roman" w:eastAsiaTheme="minorEastAsia" w:hAnsi="Times New Roman" w:cstheme="minorHAnsi"/>
          <w:b/>
          <w:bCs/>
          <w:i/>
          <w:iCs/>
          <w:sz w:val="22"/>
        </w:rPr>
        <w:t xml:space="preserve">побудови річного енергетичного балансу (у формі діаграми Сенкі) для одного статистично значимого року; </w:t>
      </w:r>
    </w:p>
    <w:p w:rsidR="00275E65" w:rsidRDefault="00902217">
      <w:pPr>
        <w:pStyle w:val="Arord"/>
        <w:numPr>
          <w:ilvl w:val="0"/>
          <w:numId w:val="4"/>
        </w:numPr>
        <w:tabs>
          <w:tab w:val="left" w:pos="709"/>
        </w:tabs>
        <w:spacing w:after="0" w:line="276" w:lineRule="auto"/>
        <w:ind w:left="0" w:firstLine="567"/>
        <w:rPr>
          <w:rFonts w:ascii="Times New Roman" w:hAnsi="Times New Roman" w:cs="Times New Roman"/>
          <w:i/>
          <w:iCs/>
          <w:sz w:val="22"/>
        </w:rPr>
      </w:pPr>
      <w:r>
        <w:rPr>
          <w:rFonts w:ascii="Times New Roman" w:eastAsiaTheme="minorEastAsia" w:hAnsi="Times New Roman" w:cstheme="minorHAnsi"/>
          <w:i/>
          <w:iCs/>
          <w:sz w:val="22"/>
        </w:rPr>
        <w:t>побудови енергетичних, вартісних, кліматичних та ін</w:t>
      </w:r>
      <w:r>
        <w:rPr>
          <w:rFonts w:ascii="Times New Roman" w:eastAsiaTheme="minorEastAsia" w:hAnsi="Times New Roman" w:cstheme="minorHAnsi"/>
          <w:i/>
          <w:iCs/>
          <w:sz w:val="22"/>
        </w:rPr>
        <w:t>вестиційних балансів (у формі плоскої діаграми) для минулих періодів за категоріями кінцевих споживачів, видами енергії та визначення відповідних трендів на період муніципального енергетичного плану;</w:t>
      </w:r>
    </w:p>
    <w:p w:rsidR="00275E65" w:rsidRDefault="00902217">
      <w:pPr>
        <w:pStyle w:val="Arord"/>
        <w:numPr>
          <w:ilvl w:val="0"/>
          <w:numId w:val="4"/>
        </w:numPr>
        <w:tabs>
          <w:tab w:val="left" w:pos="709"/>
        </w:tabs>
        <w:spacing w:after="0" w:line="276" w:lineRule="auto"/>
        <w:ind w:left="0" w:firstLine="567"/>
        <w:rPr>
          <w:rFonts w:ascii="Times New Roman" w:hAnsi="Times New Roman" w:cs="Times New Roman"/>
          <w:b/>
          <w:bCs/>
          <w:i/>
          <w:iCs/>
          <w:sz w:val="22"/>
        </w:rPr>
      </w:pPr>
      <w:r>
        <w:rPr>
          <w:rFonts w:ascii="Times New Roman" w:eastAsiaTheme="minorEastAsia" w:hAnsi="Times New Roman" w:cstheme="minorHAnsi"/>
          <w:b/>
          <w:bCs/>
          <w:i/>
          <w:iCs/>
          <w:sz w:val="22"/>
        </w:rPr>
        <w:t>бенчмаркінгу об’єктів (систем) на території територіальн</w:t>
      </w:r>
      <w:r>
        <w:rPr>
          <w:rFonts w:ascii="Times New Roman" w:eastAsiaTheme="minorEastAsia" w:hAnsi="Times New Roman" w:cstheme="minorHAnsi"/>
          <w:b/>
          <w:bCs/>
          <w:i/>
          <w:iCs/>
          <w:sz w:val="22"/>
        </w:rPr>
        <w:t xml:space="preserve">ої громади для одного статистично значимого року; </w:t>
      </w:r>
    </w:p>
    <w:p w:rsidR="00275E65" w:rsidRDefault="00902217">
      <w:pPr>
        <w:pStyle w:val="Arord"/>
        <w:numPr>
          <w:ilvl w:val="0"/>
          <w:numId w:val="4"/>
        </w:numPr>
        <w:tabs>
          <w:tab w:val="left" w:pos="709"/>
        </w:tabs>
        <w:spacing w:after="0" w:line="276" w:lineRule="auto"/>
        <w:ind w:left="0" w:firstLine="567"/>
        <w:rPr>
          <w:rFonts w:ascii="Times New Roman" w:hAnsi="Times New Roman" w:cs="Times New Roman"/>
          <w:i/>
          <w:iCs/>
          <w:sz w:val="22"/>
        </w:rPr>
      </w:pPr>
      <w:r>
        <w:rPr>
          <w:rFonts w:ascii="Times New Roman" w:eastAsiaTheme="minorEastAsia" w:hAnsi="Times New Roman" w:cstheme="minorHAnsi"/>
          <w:i/>
          <w:iCs/>
          <w:sz w:val="22"/>
        </w:rPr>
        <w:t>аналізу обмежень для сталого енергетичного розвитку територіальної громади;</w:t>
      </w:r>
    </w:p>
    <w:p w:rsidR="00275E65" w:rsidRDefault="00902217">
      <w:pPr>
        <w:pStyle w:val="Arord"/>
        <w:numPr>
          <w:ilvl w:val="0"/>
          <w:numId w:val="4"/>
        </w:numPr>
        <w:tabs>
          <w:tab w:val="left" w:pos="709"/>
        </w:tabs>
        <w:spacing w:after="0" w:line="276" w:lineRule="auto"/>
        <w:ind w:left="0" w:firstLine="567"/>
        <w:rPr>
          <w:rFonts w:ascii="Times New Roman" w:hAnsi="Times New Roman" w:cs="Times New Roman"/>
          <w:i/>
          <w:iCs/>
          <w:sz w:val="22"/>
        </w:rPr>
      </w:pPr>
      <w:r>
        <w:rPr>
          <w:rFonts w:ascii="Times New Roman" w:eastAsiaTheme="minorEastAsia" w:hAnsi="Times New Roman" w:cstheme="minorHAnsi"/>
          <w:i/>
          <w:iCs/>
          <w:sz w:val="22"/>
        </w:rPr>
        <w:t>SWOT-аналізу (оцінки сильних сторін, слабких сторін, можливостей і загроз) енергетичного розвитку територіальної громади;</w:t>
      </w:r>
    </w:p>
    <w:p w:rsidR="00275E65" w:rsidRDefault="00902217">
      <w:pPr>
        <w:pStyle w:val="Arord"/>
        <w:numPr>
          <w:ilvl w:val="0"/>
          <w:numId w:val="4"/>
        </w:numPr>
        <w:tabs>
          <w:tab w:val="left" w:pos="709"/>
        </w:tabs>
        <w:spacing w:after="0" w:line="276" w:lineRule="auto"/>
        <w:ind w:left="0" w:firstLine="567"/>
        <w:rPr>
          <w:rFonts w:ascii="Times New Roman" w:hAnsi="Times New Roman" w:cs="Times New Roman"/>
          <w:i/>
          <w:iCs/>
          <w:sz w:val="22"/>
        </w:rPr>
      </w:pPr>
      <w:r>
        <w:rPr>
          <w:rFonts w:ascii="Times New Roman" w:eastAsiaTheme="minorEastAsia" w:hAnsi="Times New Roman" w:cstheme="minorHAnsi"/>
          <w:i/>
          <w:iCs/>
          <w:sz w:val="22"/>
        </w:rPr>
        <w:t>аналізу впливу органу місцевого самоврядування на сектори;</w:t>
      </w:r>
    </w:p>
    <w:p w:rsidR="00275E65" w:rsidRDefault="00902217">
      <w:pPr>
        <w:pStyle w:val="Arord"/>
        <w:numPr>
          <w:ilvl w:val="0"/>
          <w:numId w:val="4"/>
        </w:numPr>
        <w:tabs>
          <w:tab w:val="left" w:pos="709"/>
        </w:tabs>
        <w:spacing w:after="0" w:line="276" w:lineRule="auto"/>
        <w:ind w:left="0" w:firstLine="567"/>
        <w:rPr>
          <w:rFonts w:ascii="Times New Roman" w:hAnsi="Times New Roman" w:cs="Times New Roman"/>
          <w:i/>
          <w:iCs/>
          <w:sz w:val="22"/>
        </w:rPr>
      </w:pPr>
      <w:r>
        <w:rPr>
          <w:rFonts w:ascii="Times New Roman" w:eastAsiaTheme="minorEastAsia" w:hAnsi="Times New Roman" w:cstheme="minorHAnsi"/>
          <w:i/>
          <w:iCs/>
          <w:sz w:val="22"/>
        </w:rPr>
        <w:t xml:space="preserve">аналізу завершених, поточних і запланованих місцевих програм, інвестиційних програм комунальних підприємств та інших програм і проектів (у тому числі за участі міжнародних фінансових організацій), </w:t>
      </w:r>
      <w:r>
        <w:rPr>
          <w:rFonts w:ascii="Times New Roman" w:eastAsiaTheme="minorEastAsia" w:hAnsi="Times New Roman" w:cstheme="minorHAnsi"/>
          <w:i/>
          <w:iCs/>
          <w:sz w:val="22"/>
        </w:rPr>
        <w:t>направлених на   підвищення енергетичної ефективності та розвиток відновлюваних джерел енергії на території територіальної громади;</w:t>
      </w:r>
    </w:p>
    <w:p w:rsidR="00275E65" w:rsidRDefault="00902217">
      <w:pPr>
        <w:pStyle w:val="Arord"/>
        <w:numPr>
          <w:ilvl w:val="0"/>
          <w:numId w:val="4"/>
        </w:numPr>
        <w:tabs>
          <w:tab w:val="left" w:pos="709"/>
        </w:tabs>
        <w:spacing w:after="0" w:line="276" w:lineRule="auto"/>
        <w:ind w:left="0" w:firstLine="567"/>
        <w:rPr>
          <w:rFonts w:ascii="Times New Roman" w:hAnsi="Times New Roman" w:cs="Times New Roman"/>
          <w:i/>
          <w:iCs/>
          <w:sz w:val="22"/>
        </w:rPr>
      </w:pPr>
      <w:r>
        <w:rPr>
          <w:rFonts w:ascii="Times New Roman" w:eastAsiaTheme="minorEastAsia" w:hAnsi="Times New Roman" w:cstheme="minorHAnsi"/>
          <w:i/>
          <w:iCs/>
          <w:sz w:val="22"/>
        </w:rPr>
        <w:t>інших видів аналізу (за потреби).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 цьому звіті надані результати бенчмаркінгу та річного енергетичного балансу у формі діаг</w:t>
      </w:r>
      <w:r>
        <w:rPr>
          <w:rFonts w:ascii="Times New Roman" w:eastAsiaTheme="minorEastAsia" w:hAnsi="Times New Roman" w:cstheme="minorHAnsi"/>
          <w:sz w:val="22"/>
        </w:rPr>
        <w:t>рами Сенкі для Носівської територіальної громади.. Базовим роком прийняти 2022 рік.</w:t>
      </w:r>
    </w:p>
    <w:bookmarkStart w:id="4" w:name="_Toc168064802"/>
    <w:p w:rsidR="00275E65" w:rsidRDefault="00902217">
      <w:pPr>
        <w:pStyle w:val="ArHead2"/>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noProof/>
          <w:sz w:val="22"/>
          <w:lang w:val="ru-RU" w:eastAsia="ru-RU"/>
        </w:rPr>
        <mc:AlternateContent>
          <mc:Choice Requires="wpg">
            <w:drawing>
              <wp:anchor distT="0" distB="0" distL="114300" distR="0" simplePos="0" relativeHeight="251648000" behindDoc="0" locked="0" layoutInCell="0" allowOverlap="1">
                <wp:simplePos x="0" y="0"/>
                <wp:positionH relativeFrom="margin">
                  <wp:posOffset>2723515</wp:posOffset>
                </wp:positionH>
                <wp:positionV relativeFrom="margin">
                  <wp:posOffset>6375400</wp:posOffset>
                </wp:positionV>
                <wp:extent cx="3606800" cy="2801620"/>
                <wp:effectExtent l="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pic:cNvPicPr>
                      </pic:nvPicPr>
                      <pic:blipFill>
                        <a:blip r:embed="rId16"/>
                        <a:stretch/>
                      </pic:blipFill>
                      <pic:spPr bwMode="auto">
                        <a:xfrm>
                          <a:off x="0" y="0"/>
                          <a:ext cx="3606800" cy="2801620"/>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0.0pt;mso-wrap-distance-bottom:0.0pt;z-index:251648000;o:allowoverlap:true;o:allowincell:false;mso-position-horizontal-relative:margin;margin-left:214.4pt;mso-position-horizontal:absolute;mso-position-vertical-relative:margin;margin-top:502.0pt;mso-position-vertical:absolute;width:284.0pt;height:220.6pt;" stroked="false">
                <v:path textboxrect="0,0,0,0"/>
                <v:imagedata r:id="rId17" o:title=""/>
              </v:shape>
            </w:pict>
          </mc:Fallback>
        </mc:AlternateContent>
      </w:r>
      <w:r>
        <w:rPr>
          <w:rFonts w:ascii="Times New Roman" w:eastAsiaTheme="minorEastAsia" w:hAnsi="Times New Roman" w:cstheme="minorHAnsi"/>
          <w:sz w:val="22"/>
        </w:rPr>
        <w:t>Коротка характеристика громади</w:t>
      </w:r>
      <w:bookmarkEnd w:id="4"/>
      <w:r>
        <w:rPr>
          <w:rFonts w:ascii="Times New Roman" w:eastAsiaTheme="minorEastAsia" w:hAnsi="Times New Roman" w:cstheme="minorHAnsi"/>
          <w:sz w:val="22"/>
        </w:rPr>
        <w:t xml:space="preserve">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Днем створення Носівської об'єднаної територіальної громади є 30 вересня 2016 р., коли сесією Носівської міської ради на підставі статті 8 </w:t>
      </w:r>
      <w:r>
        <w:rPr>
          <w:rFonts w:ascii="Times New Roman" w:eastAsiaTheme="minorEastAsia" w:hAnsi="Times New Roman" w:cstheme="minorHAnsi"/>
          <w:sz w:val="22"/>
        </w:rPr>
        <w:t>Закону України «Про добровільне об’єднання територіальних громад» було прийнято рішення про створення об’єднаної громади. 18 грудня 2016 р. проведено перші вибори. Від 18 населених пунктів, які об’єдналися в громаду, було обрано 26 депутатів та міського го</w:t>
      </w:r>
      <w:r>
        <w:rPr>
          <w:rFonts w:ascii="Times New Roman" w:eastAsiaTheme="minorEastAsia" w:hAnsi="Times New Roman" w:cstheme="minorHAnsi"/>
          <w:sz w:val="22"/>
        </w:rPr>
        <w:t>лову. Відповідно до розпорядження Кабінету Міністрів України № 730-р від 12 червня 2020 року «Про визначення адміністративних центрів та затвердження територій територіальних громад Чернігівської області», до складу Носівської громади в 2020 році була вклю</w:t>
      </w:r>
      <w:r>
        <w:rPr>
          <w:rFonts w:ascii="Times New Roman" w:eastAsiaTheme="minorEastAsia" w:hAnsi="Times New Roman" w:cstheme="minorHAnsi"/>
          <w:sz w:val="22"/>
        </w:rPr>
        <w:t>чена територія Держанівської сільської ради Носівського району, збільшивши таким чином кількість населених пунктів в Носівській громаді до 21.</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Громада розташована у Південно-Західній частині Чернігівської області Ніжинського району</w:t>
      </w:r>
      <w:r>
        <w:rPr>
          <w:rFonts w:ascii="Times New Roman" w:eastAsiaTheme="minorEastAsia" w:hAnsi="Times New Roman" w:cstheme="minorHAnsi"/>
          <w:sz w:val="22"/>
        </w:rPr>
        <w:t xml:space="preserve">, межує з Козелецькою, Бобровицькою, Мринською, Талалаївською, Макіївською, Кіптівською, Вертіївською та Лосинівською територіальними громадами.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Адміністративним центром територіальної громади є місто Носівка. Воно розташоване на відстані 124 км від Києв</w:t>
      </w:r>
      <w:r>
        <w:rPr>
          <w:rFonts w:ascii="Times New Roman" w:eastAsiaTheme="minorEastAsia" w:hAnsi="Times New Roman" w:cstheme="minorHAnsi"/>
          <w:sz w:val="22"/>
        </w:rPr>
        <w:t xml:space="preserve">а, 101 – від Чернігова, 32 – від Ніжина. Залізнична станція Носівка знаходиться на відстані 1,5 години руху до станції Київ-Пасажирський. Основа </w:t>
      </w:r>
      <w:r>
        <w:rPr>
          <w:rFonts w:ascii="Times New Roman" w:eastAsiaTheme="minorEastAsia" w:hAnsi="Times New Roman" w:cstheme="minorHAnsi"/>
          <w:sz w:val="22"/>
        </w:rPr>
        <w:lastRenderedPageBreak/>
        <w:t xml:space="preserve">економіки – великотоварне сільське господарство.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Територія громади– 580,94 км</w:t>
      </w:r>
      <w:r>
        <w:rPr>
          <w:rFonts w:ascii="Times New Roman" w:eastAsiaTheme="minorEastAsia" w:hAnsi="Times New Roman" w:cstheme="minorHAnsi"/>
          <w:sz w:val="22"/>
          <w:vertAlign w:val="superscript"/>
        </w:rPr>
        <w:t>2</w:t>
      </w:r>
      <w:r>
        <w:rPr>
          <w:rFonts w:ascii="Times New Roman" w:eastAsiaTheme="minorEastAsia" w:hAnsi="Times New Roman" w:cstheme="minorHAnsi"/>
          <w:sz w:val="22"/>
        </w:rPr>
        <w:t xml:space="preserve"> (більше 58 тис.га), населення н</w:t>
      </w:r>
      <w:r>
        <w:rPr>
          <w:rFonts w:ascii="Times New Roman" w:eastAsiaTheme="minorEastAsia" w:hAnsi="Times New Roman" w:cstheme="minorHAnsi"/>
          <w:sz w:val="22"/>
        </w:rPr>
        <w:t>а 2023 – 19 368 чоловік.</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основні географічні і кліматичних характеристик території територіальної громади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Носівська територіальна громада розміщена в помірному кліматичному поясі, у середніх широтах. Клімат тут помірно-континентальний, величина сумарної со</w:t>
      </w:r>
      <w:r>
        <w:rPr>
          <w:rFonts w:ascii="Times New Roman" w:eastAsiaTheme="minorEastAsia" w:hAnsi="Times New Roman" w:cstheme="minorHAnsi"/>
          <w:sz w:val="22"/>
        </w:rPr>
        <w:t>нячної радіації 96-98 Ккал на см</w:t>
      </w:r>
      <w:r>
        <w:rPr>
          <w:rFonts w:ascii="Times New Roman" w:eastAsiaTheme="minorEastAsia" w:hAnsi="Times New Roman" w:cstheme="minorHAnsi"/>
          <w:sz w:val="22"/>
          <w:vertAlign w:val="superscript"/>
        </w:rPr>
        <w:t>2</w:t>
      </w:r>
      <w:r>
        <w:rPr>
          <w:rFonts w:ascii="Times New Roman" w:eastAsiaTheme="minorEastAsia" w:hAnsi="Times New Roman" w:cstheme="minorHAnsi"/>
          <w:sz w:val="22"/>
        </w:rPr>
        <w:t>, річна сума опадів складає 550-600 мм. В місцевості переважають західні вітри. Зима не дуже морозна (-7… -8 °С), а літо тепле (+18… +19 °С). На клімат найбільше впливає географічна широта, абсолютна висота над рівнем моря,</w:t>
      </w:r>
      <w:r>
        <w:rPr>
          <w:rFonts w:ascii="Times New Roman" w:eastAsiaTheme="minorEastAsia" w:hAnsi="Times New Roman" w:cstheme="minorHAnsi"/>
          <w:sz w:val="22"/>
        </w:rPr>
        <w:t xml:space="preserve"> а також атмосферна циркуляція.</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Великі території громади зайняті лісами, де переважають соснові, але є також і мішані ліси. Зустрічаються в них часто дуб, береза, ясен, вільха, хвойні (сосна, ялина). Є також липа, осика, горобина. У підліску представлені м</w:t>
      </w:r>
      <w:r>
        <w:rPr>
          <w:rFonts w:ascii="Times New Roman" w:eastAsiaTheme="minorEastAsia" w:hAnsi="Times New Roman" w:cstheme="minorHAnsi"/>
          <w:sz w:val="22"/>
        </w:rPr>
        <w:t>алина, ліщина, калина, шипшина.</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Демографічної ситуації, основні статистичні показники територіальної громади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Сучасна демографічна ситуація в Носівській об’єднаній територіальній громаді склалася під впливом історичного розвитку території, природного та міг</w:t>
      </w:r>
      <w:r>
        <w:rPr>
          <w:rFonts w:ascii="Times New Roman" w:eastAsiaTheme="minorEastAsia" w:hAnsi="Times New Roman" w:cstheme="minorHAnsi"/>
          <w:sz w:val="22"/>
        </w:rPr>
        <w:t xml:space="preserve">раційного руху населення. Чисельність наявного населення Носівської </w:t>
      </w:r>
      <w:r>
        <w:rPr>
          <w:rFonts w:ascii="Times New Roman" w:eastAsiaTheme="minorEastAsia" w:hAnsi="Times New Roman" w:cstheme="minorHAnsi"/>
          <w:noProof/>
          <w:sz w:val="22"/>
          <w:lang w:val="ru-RU" w:eastAsia="ru-RU"/>
        </w:rPr>
        <mc:AlternateContent>
          <mc:Choice Requires="wpg">
            <w:drawing>
              <wp:anchor distT="0" distB="0" distL="114300" distR="114300" simplePos="0" relativeHeight="251652096" behindDoc="0" locked="0" layoutInCell="0" allowOverlap="1">
                <wp:simplePos x="0" y="0"/>
                <wp:positionH relativeFrom="margin">
                  <wp:posOffset>3657600</wp:posOffset>
                </wp:positionH>
                <wp:positionV relativeFrom="margin">
                  <wp:posOffset>715010</wp:posOffset>
                </wp:positionV>
                <wp:extent cx="2305050" cy="1618615"/>
                <wp:effectExtent l="19050" t="19050" r="19050" b="19685"/>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pic:cNvPicPr>
                          <a:picLocks noChangeAspect="1"/>
                        </pic:cNvPicPr>
                      </pic:nvPicPr>
                      <pic:blipFill>
                        <a:blip r:embed="rId18"/>
                        <a:srcRect l="25222" t="25130" r="39860" b="31192"/>
                        <a:stretch/>
                      </pic:blipFill>
                      <pic:spPr bwMode="auto">
                        <a:xfrm>
                          <a:off x="0" y="0"/>
                          <a:ext cx="2305050" cy="1618615"/>
                        </a:xfrm>
                        <a:prstGeom prst="rect">
                          <a:avLst/>
                        </a:prstGeom>
                        <a:ln>
                          <a:solidFill>
                            <a:schemeClr val="accent1"/>
                          </a:solidFill>
                        </a:ln>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52096;o:allowoverlap:true;o:allowincell:false;mso-position-horizontal-relative:margin;margin-left:288.0pt;mso-position-horizontal:absolute;mso-position-vertical-relative:margin;margin-top:56.3pt;mso-position-vertical:absolute;width:181.5pt;height:127.4pt;" strokecolor="#4472C4">
                <v:path textboxrect="0,0,0,0"/>
                <v:imagedata r:id="rId19" o:title=""/>
              </v:shape>
            </w:pict>
          </mc:Fallback>
        </mc:AlternateContent>
      </w:r>
      <w:r>
        <w:rPr>
          <w:rFonts w:ascii="Times New Roman" w:eastAsiaTheme="minorEastAsia" w:hAnsi="Times New Roman" w:cstheme="minorHAnsi"/>
          <w:sz w:val="22"/>
        </w:rPr>
        <w:t>територіальної громади станом на 2023 рік становила 19 368 чоловік.</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Частка пенсіонерів у віковій структурі населення складає 31,2%, частка осіб працездатного віку складає 49,8%. Діти і пі</w:t>
      </w:r>
      <w:r>
        <w:rPr>
          <w:rFonts w:ascii="Times New Roman" w:eastAsiaTheme="minorEastAsia" w:hAnsi="Times New Roman" w:cstheme="minorHAnsi"/>
          <w:sz w:val="22"/>
        </w:rPr>
        <w:t>длітки у віковій структурі населення громади складають 19,0%.</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Статевий та віковий склад населення відображає загальні демографічні тенденції як області, так і країни в цілому. Кількість жіночого населення становить 10 556 осіб (54,5%) та чоловічого     8 8</w:t>
      </w:r>
      <w:r>
        <w:rPr>
          <w:rFonts w:ascii="Times New Roman" w:eastAsiaTheme="minorEastAsia" w:hAnsi="Times New Roman" w:cstheme="minorHAnsi"/>
          <w:sz w:val="22"/>
        </w:rPr>
        <w:t xml:space="preserve">12 осіб (45,5%).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Для Носівської територіальної громади характерним є постійне зменшення чисельності населення, виражена тенденція до його «старіння». При цьому скорочення населення в кількісному виразі відбувається переважно за рахунок жителів міста.</w:t>
      </w:r>
    </w:p>
    <w:p w:rsidR="00275E65" w:rsidRDefault="00902217">
      <w:pPr>
        <w:pStyle w:val="Artblname"/>
        <w:tabs>
          <w:tab w:val="left" w:pos="709"/>
        </w:tabs>
        <w:spacing w:line="276" w:lineRule="auto"/>
        <w:ind w:firstLine="567"/>
        <w:rPr>
          <w:rFonts w:ascii="Times New Roman" w:hAnsi="Times New Roman" w:cs="Times New Roman"/>
          <w:sz w:val="22"/>
        </w:rPr>
      </w:pPr>
      <w:bookmarkStart w:id="5" w:name="_Toc168064834"/>
      <w:r>
        <w:rPr>
          <w:rFonts w:ascii="Times New Roman" w:eastAsiaTheme="minorEastAsia" w:hAnsi="Times New Roman" w:cstheme="minorHAnsi"/>
          <w:sz w:val="22"/>
        </w:rPr>
        <w:t>Чисе</w:t>
      </w:r>
      <w:r>
        <w:rPr>
          <w:rFonts w:ascii="Times New Roman" w:eastAsiaTheme="minorEastAsia" w:hAnsi="Times New Roman" w:cstheme="minorHAnsi"/>
          <w:sz w:val="22"/>
        </w:rPr>
        <w:t>льність населення громади</w:t>
      </w:r>
      <w:bookmarkEnd w:id="5"/>
    </w:p>
    <w:tbl>
      <w:tblPr>
        <w:tblStyle w:val="GridTable1LightAccent1"/>
        <w:tblpPr w:leftFromText="180" w:rightFromText="180" w:vertAnchor="text" w:horzAnchor="margin" w:tblpY="17"/>
        <w:tblW w:w="9493" w:type="dxa"/>
        <w:tblLayout w:type="fixed"/>
        <w:tblLook w:val="04A0" w:firstRow="1" w:lastRow="0" w:firstColumn="1" w:lastColumn="0" w:noHBand="0" w:noVBand="1"/>
      </w:tblPr>
      <w:tblGrid>
        <w:gridCol w:w="1555"/>
        <w:gridCol w:w="887"/>
        <w:gridCol w:w="986"/>
        <w:gridCol w:w="986"/>
        <w:gridCol w:w="884"/>
        <w:gridCol w:w="1080"/>
        <w:gridCol w:w="988"/>
        <w:gridCol w:w="986"/>
        <w:gridCol w:w="1141"/>
      </w:tblGrid>
      <w:tr w:rsidR="00275E65" w:rsidTr="00275E6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5" w:type="dxa"/>
          </w:tcPr>
          <w:p w:rsidR="00275E65" w:rsidRDefault="00902217">
            <w:pPr>
              <w:pStyle w:val="Artblin"/>
              <w:tabs>
                <w:tab w:val="left" w:pos="709"/>
              </w:tabs>
              <w:spacing w:line="276" w:lineRule="auto"/>
              <w:rPr>
                <w:rFonts w:ascii="Times New Roman" w:hAnsi="Times New Roman" w:cs="Times New Roman"/>
                <w:sz w:val="22"/>
              </w:rPr>
            </w:pPr>
            <w:r>
              <w:rPr>
                <w:rFonts w:ascii="Times New Roman" w:hAnsi="Times New Roman" w:cs="Times New Roman"/>
                <w:sz w:val="22"/>
              </w:rPr>
              <w:t>Показник</w:t>
            </w:r>
          </w:p>
        </w:tc>
        <w:tc>
          <w:tcPr>
            <w:tcW w:w="887" w:type="dxa"/>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Од. вим.</w:t>
            </w:r>
          </w:p>
        </w:tc>
        <w:tc>
          <w:tcPr>
            <w:tcW w:w="986" w:type="dxa"/>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2017</w:t>
            </w:r>
          </w:p>
        </w:tc>
        <w:tc>
          <w:tcPr>
            <w:tcW w:w="986" w:type="dxa"/>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2018</w:t>
            </w:r>
          </w:p>
        </w:tc>
        <w:tc>
          <w:tcPr>
            <w:tcW w:w="884" w:type="dxa"/>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2019</w:t>
            </w:r>
          </w:p>
        </w:tc>
        <w:tc>
          <w:tcPr>
            <w:tcW w:w="1080" w:type="dxa"/>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2020</w:t>
            </w:r>
          </w:p>
        </w:tc>
        <w:tc>
          <w:tcPr>
            <w:tcW w:w="988" w:type="dxa"/>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986" w:type="dxa"/>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2022</w:t>
            </w:r>
          </w:p>
        </w:tc>
        <w:tc>
          <w:tcPr>
            <w:tcW w:w="1141" w:type="dxa"/>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2023</w:t>
            </w:r>
          </w:p>
        </w:tc>
      </w:tr>
      <w:tr w:rsidR="00275E65" w:rsidTr="00275E65">
        <w:trPr>
          <w:trHeight w:val="320"/>
        </w:trPr>
        <w:tc>
          <w:tcPr>
            <w:cnfStyle w:val="001000000000" w:firstRow="0" w:lastRow="0" w:firstColumn="1" w:lastColumn="0" w:oddVBand="0" w:evenVBand="0" w:oddHBand="0" w:evenHBand="0" w:firstRowFirstColumn="0" w:firstRowLastColumn="0" w:lastRowFirstColumn="0" w:lastRowLastColumn="0"/>
            <w:tcW w:w="1555" w:type="dxa"/>
          </w:tcPr>
          <w:p w:rsidR="00275E65" w:rsidRDefault="00902217">
            <w:pPr>
              <w:pStyle w:val="Artblin"/>
              <w:tabs>
                <w:tab w:val="left" w:pos="709"/>
              </w:tabs>
              <w:spacing w:line="276" w:lineRule="auto"/>
              <w:rPr>
                <w:rFonts w:ascii="Times New Roman" w:hAnsi="Times New Roman" w:cs="Times New Roman"/>
                <w:sz w:val="22"/>
              </w:rPr>
            </w:pPr>
            <w:r>
              <w:rPr>
                <w:rFonts w:ascii="Times New Roman" w:hAnsi="Times New Roman" w:cs="Times New Roman"/>
                <w:sz w:val="22"/>
              </w:rPr>
              <w:t>Чисельність населення</w:t>
            </w:r>
          </w:p>
        </w:tc>
        <w:tc>
          <w:tcPr>
            <w:tcW w:w="88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тис. осіб</w:t>
            </w:r>
          </w:p>
        </w:tc>
        <w:tc>
          <w:tcPr>
            <w:tcW w:w="98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20,401</w:t>
            </w:r>
          </w:p>
        </w:tc>
        <w:tc>
          <w:tcPr>
            <w:tcW w:w="98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20,302</w:t>
            </w:r>
          </w:p>
        </w:tc>
        <w:tc>
          <w:tcPr>
            <w:tcW w:w="88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20,07</w:t>
            </w:r>
          </w:p>
        </w:tc>
        <w:tc>
          <w:tcPr>
            <w:tcW w:w="1080"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19,665</w:t>
            </w:r>
          </w:p>
        </w:tc>
        <w:tc>
          <w:tcPr>
            <w:tcW w:w="988"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19,811</w:t>
            </w:r>
          </w:p>
        </w:tc>
        <w:tc>
          <w:tcPr>
            <w:tcW w:w="98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19,579</w:t>
            </w:r>
          </w:p>
        </w:tc>
        <w:tc>
          <w:tcPr>
            <w:tcW w:w="114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19,368</w:t>
            </w:r>
          </w:p>
        </w:tc>
      </w:tr>
    </w:tbl>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Однією з причин зменшення кількості населення ТГ є від’ємний природний приріст населення, зумовлений значним зниженням народжуваності на фоні незначного зростання смертності. Різке падіння народжуваності, яке має чітку тенденцію останні роки, обумовлене не</w:t>
      </w:r>
      <w:r>
        <w:rPr>
          <w:rFonts w:ascii="Times New Roman" w:eastAsiaTheme="minorEastAsia" w:hAnsi="Times New Roman" w:cstheme="minorHAnsi"/>
          <w:sz w:val="22"/>
        </w:rPr>
        <w:t>стабільною ситуацією в країні (політичною, фінансовою), відсутністю впевненості в стабільному майбутньому. Тому  на фоні відносно стабільної смертності бачимо негативне явище – динамічне скорочення населення громади.</w:t>
      </w:r>
    </w:p>
    <w:p w:rsidR="00275E65" w:rsidRDefault="00902217">
      <w:pPr>
        <w:pStyle w:val="ArHead2"/>
        <w:tabs>
          <w:tab w:val="left" w:pos="709"/>
        </w:tabs>
        <w:spacing w:after="0" w:line="276" w:lineRule="auto"/>
        <w:ind w:firstLine="567"/>
        <w:rPr>
          <w:rFonts w:ascii="Times New Roman" w:hAnsi="Times New Roman" w:cs="Times New Roman"/>
          <w:sz w:val="22"/>
        </w:rPr>
      </w:pPr>
      <w:bookmarkStart w:id="6" w:name="_Toc168064803"/>
      <w:r>
        <w:rPr>
          <w:rFonts w:ascii="Times New Roman" w:eastAsiaTheme="minorEastAsia" w:hAnsi="Times New Roman" w:cstheme="minorHAnsi"/>
          <w:sz w:val="22"/>
        </w:rPr>
        <w:t>Коротка характеристика енергетичного се</w:t>
      </w:r>
      <w:r>
        <w:rPr>
          <w:rFonts w:ascii="Times New Roman" w:eastAsiaTheme="minorEastAsia" w:hAnsi="Times New Roman" w:cstheme="minorHAnsi"/>
          <w:sz w:val="22"/>
        </w:rPr>
        <w:t>ктору громади</w:t>
      </w:r>
      <w:bookmarkEnd w:id="6"/>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Енергетичний сектор Носівської територіальної громади є типовим для в</w:t>
      </w:r>
      <w:r>
        <w:rPr>
          <w:rFonts w:ascii="Times New Roman" w:eastAsiaTheme="minorEastAsia" w:hAnsi="Times New Roman" w:cstheme="minorHAnsi"/>
          <w:sz w:val="22"/>
        </w:rPr>
        <w:t>ідносно невеликих громад з відсутністю крупних міст в складі громади. Місто Носівка з населенням близько 13 тис. людей - єдиним містом в складі громади, з великою кількістю сіл. Відповідно, це позначається і на енергетичному секторі територіальної громади.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lastRenderedPageBreak/>
        <w:t>В громаді відсутні мережі централізованого теплопостачання, абсолютна більшість бюджетних об’єктів отримують теплову енергію на потреби опалення від локальних котелень КП «Носівські теплові мережі». Всього КП «Носівські теплові мережі» належить 23 котельн</w:t>
      </w:r>
      <w:r>
        <w:rPr>
          <w:rFonts w:ascii="Times New Roman" w:eastAsiaTheme="minorEastAsia" w:hAnsi="Times New Roman" w:cstheme="minorHAnsi"/>
          <w:sz w:val="22"/>
        </w:rPr>
        <w:t>і загальною потужність 2,0 МВт, дві з яких в поточний момент не працюють. Станом на 2022 рік 14 котелень підприємства працює з котлами на природному газі, а 7 – з твердопаливними котлами, що в якості палива використовують дрова. В громаді є ще одна теплопо</w:t>
      </w:r>
      <w:r>
        <w:rPr>
          <w:rFonts w:ascii="Times New Roman" w:eastAsiaTheme="minorEastAsia" w:hAnsi="Times New Roman" w:cstheme="minorHAnsi"/>
          <w:sz w:val="22"/>
        </w:rPr>
        <w:t>стачальна організація - ТОВ «Укртепло Чернігів», яка подає теплову енергію на обєкти Носівської міської лікарні, однак громада має плани відмовитись від їх послуг. Планується, що теплопостачання лікарні КП «Носівські теплові мережі» побудують нову твердопа</w:t>
      </w:r>
      <w:r>
        <w:rPr>
          <w:rFonts w:ascii="Times New Roman" w:eastAsiaTheme="minorEastAsia" w:hAnsi="Times New Roman" w:cstheme="minorHAnsi"/>
          <w:sz w:val="22"/>
        </w:rPr>
        <w:t xml:space="preserve">ливну котельню. Декілька бюджетних об’єктів громади опалюються за рахунок використання електричної енергії (в основному на електроконвекторах).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 приватній забудові громади для опалення одноквартирних будинків для потреб опалення в основному використовуют</w:t>
      </w:r>
      <w:r>
        <w:rPr>
          <w:rFonts w:ascii="Times New Roman" w:eastAsiaTheme="minorEastAsia" w:hAnsi="Times New Roman" w:cstheme="minorHAnsi"/>
          <w:sz w:val="22"/>
        </w:rPr>
        <w:t>ь газові котли або дров’яні котли.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Централізоване ГВП в громаді відсутнє. Всі бюджетні споживачі використовують електричні водонагрівачі (в основному ємнісного типу) для отримання гарячої води. В житлових будинках використовують як електричні водонагрівачі</w:t>
      </w:r>
      <w:r>
        <w:rPr>
          <w:rFonts w:ascii="Times New Roman" w:eastAsiaTheme="minorEastAsia" w:hAnsi="Times New Roman" w:cstheme="minorHAnsi"/>
          <w:sz w:val="22"/>
        </w:rPr>
        <w:t>, так і газові проточні колонки.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Послуги енергопостачання споживачам Носівської міської територіальної громади надає АТ «ЧЕРНІГІВОБЛЕНЕРГО» та ТОВ «ЕНЕРА ЧЕРНІГІВ» (передачу та постачання електроенергії електромережами).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Послуги газопостачання надає ТОВ «</w:t>
      </w:r>
      <w:r>
        <w:rPr>
          <w:rFonts w:ascii="Times New Roman" w:eastAsiaTheme="minorEastAsia" w:hAnsi="Times New Roman" w:cstheme="minorHAnsi"/>
          <w:sz w:val="22"/>
        </w:rPr>
        <w:t>ЧЕРНІГІВГАЗ  ЗБУТ» (постачання природного газу) та АТ «ЧЕРНІГІВГАЗ» (розподіл природного газу споживачам). На території громади газифіковано усі 21 населених пунктів (м. Носівка та 20 сіл).</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Послуги водопостачання та водовідведення в Носівській територіальн</w:t>
      </w:r>
      <w:r>
        <w:rPr>
          <w:rFonts w:ascii="Times New Roman" w:eastAsiaTheme="minorEastAsia" w:hAnsi="Times New Roman" w:cstheme="minorHAnsi"/>
          <w:sz w:val="22"/>
        </w:rPr>
        <w:t xml:space="preserve">ій громаді надає КП «Носівка-Комунальник». Загальна протяжність водопровідних мереж становить 136 км. Довжина каналізаційних мереж становить 5,4 км. Підприємство обслуговує 5100 абонентів.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Крім цього, КП «Носівка-Комунальник» надає послуги по вивезенню твердих та рідких побутових відходів.</w:t>
      </w: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Head2"/>
        <w:tabs>
          <w:tab w:val="left" w:pos="709"/>
        </w:tabs>
        <w:spacing w:after="0" w:line="276" w:lineRule="auto"/>
        <w:ind w:firstLine="567"/>
        <w:rPr>
          <w:rFonts w:ascii="Times New Roman" w:hAnsi="Times New Roman" w:cs="Times New Roman"/>
          <w:sz w:val="22"/>
        </w:rPr>
      </w:pPr>
      <w:bookmarkStart w:id="7" w:name="_Toc168064804"/>
      <w:r>
        <w:rPr>
          <w:rFonts w:ascii="Times New Roman" w:eastAsiaTheme="minorEastAsia" w:hAnsi="Times New Roman" w:cstheme="minorHAnsi"/>
          <w:sz w:val="22"/>
        </w:rPr>
        <w:t>Річний баланс енергоспоживання</w:t>
      </w:r>
      <w:bookmarkEnd w:id="7"/>
      <w:r>
        <w:rPr>
          <w:rFonts w:ascii="Times New Roman" w:eastAsiaTheme="minorEastAsia" w:hAnsi="Times New Roman" w:cstheme="minorHAnsi"/>
          <w:sz w:val="22"/>
        </w:rPr>
        <w:t xml:space="preserve"> </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8" w:name="_Toc147345403"/>
      <w:r>
        <w:rPr>
          <w:rFonts w:ascii="Times New Roman" w:eastAsiaTheme="minorEastAsia" w:hAnsi="Times New Roman" w:cstheme="minorHAnsi"/>
          <w:b/>
          <w:bCs/>
          <w:sz w:val="22"/>
        </w:rPr>
        <w:t>Методичні засади</w:t>
      </w:r>
      <w:bookmarkEnd w:id="8"/>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Діаграма Сенкі – тип діаграми потоків, в якому величина амплітуди потоку прямопропорційна кількості один</w:t>
      </w:r>
      <w:r>
        <w:rPr>
          <w:rFonts w:ascii="Times New Roman" w:eastAsiaTheme="minorEastAsia" w:hAnsi="Times New Roman" w:cstheme="minorHAnsi"/>
          <w:sz w:val="22"/>
        </w:rPr>
        <w:t>иць визначеного показника. В такій діаграмі всі енергетичні потоки приводяться до єдиної одиниці виміру (відповідно Методики МЕП до МВт*год).</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Такий метод дозволяє графічно відобразити кількісні характеристики генерації, переробки та споживання енергетичних</w:t>
      </w:r>
      <w:r>
        <w:rPr>
          <w:rFonts w:ascii="Times New Roman" w:eastAsiaTheme="minorEastAsia" w:hAnsi="Times New Roman" w:cstheme="minorHAnsi"/>
          <w:sz w:val="22"/>
        </w:rPr>
        <w:t xml:space="preserve"> ресурсів.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Інструмент побудови діаграми використаний WEB-ресурс - </w:t>
      </w:r>
      <w:hyperlink r:id="rId20" w:tooltip="https://sankeymatic.com/" w:history="1">
        <w:r>
          <w:rPr>
            <w:rFonts w:ascii="Times New Roman" w:eastAsiaTheme="minorEastAsia" w:hAnsi="Times New Roman" w:cstheme="minorHAnsi"/>
            <w:sz w:val="22"/>
          </w:rPr>
          <w:t>https://sankeymatic.com/</w:t>
        </w:r>
      </w:hyperlink>
      <w:r>
        <w:rPr>
          <w:rFonts w:ascii="Times New Roman" w:eastAsiaTheme="minorEastAsia" w:hAnsi="Times New Roman" w:cstheme="minorHAnsi"/>
          <w:sz w:val="22"/>
        </w:rPr>
        <w:t>. В Додатку 1 надана покрокова інструкція для використання вказаного інструменту.</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9" w:name="_Toc147345404"/>
      <w:r>
        <w:rPr>
          <w:rFonts w:ascii="Times New Roman" w:eastAsiaTheme="minorEastAsia" w:hAnsi="Times New Roman" w:cstheme="minorHAnsi"/>
          <w:b/>
          <w:bCs/>
          <w:sz w:val="22"/>
        </w:rPr>
        <w:t>Вихідні дані</w:t>
      </w:r>
      <w:r>
        <w:rPr>
          <w:rFonts w:ascii="Times New Roman" w:eastAsiaTheme="minorEastAsia" w:hAnsi="Times New Roman" w:cstheme="minorHAnsi"/>
          <w:b/>
          <w:bCs/>
          <w:sz w:val="22"/>
        </w:rPr>
        <w:t>.</w:t>
      </w:r>
      <w:bookmarkEnd w:id="9"/>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Вихідними даними для побудови річного  енергетичного балансу Носівської територіальної громади є наданий файл - «Форми збору свод 2.xlsx». У файлі створена вкладка – «Баланс».  Форма таблиці вкладки «баланс» має вигляд наданий в таблиці нижче.</w:t>
      </w:r>
    </w:p>
    <w:p w:rsidR="00275E65" w:rsidRDefault="00902217">
      <w:pPr>
        <w:spacing w:after="0" w:line="240" w:lineRule="auto"/>
        <w:rPr>
          <w:rFonts w:ascii="Times New Roman" w:hAnsi="Times New Roman" w:cs="Times New Roman"/>
          <w:lang w:val="uk-UA"/>
        </w:rPr>
      </w:pPr>
      <w:r>
        <w:rPr>
          <w:rFonts w:ascii="Times New Roman" w:eastAsiaTheme="minorEastAsia" w:hAnsi="Times New Roman" w:cstheme="minorHAnsi"/>
          <w:lang w:val="ru-RU"/>
        </w:rPr>
        <w:br w:type="page"/>
      </w: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tblname"/>
        <w:tabs>
          <w:tab w:val="left" w:pos="709"/>
        </w:tabs>
        <w:spacing w:line="276" w:lineRule="auto"/>
        <w:ind w:firstLine="567"/>
        <w:rPr>
          <w:rFonts w:ascii="Times New Roman" w:hAnsi="Times New Roman" w:cs="Times New Roman"/>
          <w:sz w:val="22"/>
        </w:rPr>
      </w:pPr>
      <w:bookmarkStart w:id="10" w:name="_Toc147345436"/>
      <w:bookmarkStart w:id="11" w:name="_Toc168064835"/>
      <w:r>
        <w:rPr>
          <w:rFonts w:ascii="Times New Roman" w:eastAsiaTheme="minorEastAsia" w:hAnsi="Times New Roman" w:cstheme="minorHAnsi"/>
          <w:sz w:val="22"/>
        </w:rPr>
        <w:t>Форма т</w:t>
      </w:r>
      <w:r>
        <w:rPr>
          <w:rFonts w:ascii="Times New Roman" w:eastAsiaTheme="minorEastAsia" w:hAnsi="Times New Roman" w:cstheme="minorHAnsi"/>
          <w:sz w:val="22"/>
        </w:rPr>
        <w:t>аблиці «баланс» для Носівської територіальної громади.</w:t>
      </w:r>
      <w:bookmarkEnd w:id="10"/>
      <w:r>
        <w:rPr>
          <w:rFonts w:ascii="Times New Roman" w:eastAsiaTheme="minorEastAsia" w:hAnsi="Times New Roman" w:cstheme="minorHAnsi"/>
          <w:sz w:val="22"/>
        </w:rPr>
        <w:t xml:space="preserve"> МВт·год.</w:t>
      </w:r>
      <w:bookmarkEnd w:id="11"/>
    </w:p>
    <w:tbl>
      <w:tblPr>
        <w:tblStyle w:val="GridTable1LightAccent1"/>
        <w:tblW w:w="9842" w:type="dxa"/>
        <w:tblLayout w:type="fixed"/>
        <w:tblLook w:val="04A0" w:firstRow="1" w:lastRow="0" w:firstColumn="1" w:lastColumn="0" w:noHBand="0" w:noVBand="1"/>
      </w:tblPr>
      <w:tblGrid>
        <w:gridCol w:w="1980"/>
        <w:gridCol w:w="992"/>
        <w:gridCol w:w="858"/>
        <w:gridCol w:w="859"/>
        <w:gridCol w:w="859"/>
        <w:gridCol w:w="859"/>
        <w:gridCol w:w="859"/>
        <w:gridCol w:w="809"/>
        <w:gridCol w:w="709"/>
        <w:gridCol w:w="1058"/>
      </w:tblGrid>
      <w:tr w:rsidR="00275E65" w:rsidRPr="00902217" w:rsidTr="00275E65">
        <w:trPr>
          <w:cnfStyle w:val="100000000000" w:firstRow="1" w:lastRow="0" w:firstColumn="0" w:lastColumn="0" w:oddVBand="0" w:evenVBand="0" w:oddHBand="0" w:evenHBand="0" w:firstRowFirstColumn="0" w:firstRowLastColumn="0" w:lastRowFirstColumn="0" w:lastRowLastColumn="0"/>
          <w:trHeight w:val="2684"/>
          <w:tblHeader/>
        </w:trPr>
        <w:tc>
          <w:tcPr>
            <w:cnfStyle w:val="001000000000" w:firstRow="0" w:lastRow="0" w:firstColumn="1" w:lastColumn="0" w:oddVBand="0" w:evenVBand="0" w:oddHBand="0" w:evenHBand="0" w:firstRowFirstColumn="0" w:firstRowLastColumn="0" w:lastRowFirstColumn="0" w:lastRowLastColumn="0"/>
            <w:tcW w:w="1980" w:type="dxa"/>
            <w:tcBorders>
              <w:bottom w:val="single" w:sz="12" w:space="0" w:color="8EAADB"/>
            </w:tcBorders>
            <w:textDirection w:val="btLr"/>
          </w:tcPr>
          <w:p w:rsidR="00275E65" w:rsidRDefault="00275E65">
            <w:pPr>
              <w:pStyle w:val="Artblin"/>
              <w:tabs>
                <w:tab w:val="left" w:pos="709"/>
              </w:tabs>
              <w:spacing w:line="276" w:lineRule="auto"/>
              <w:rPr>
                <w:rFonts w:ascii="Times New Roman" w:hAnsi="Times New Roman" w:cs="Times New Roman"/>
                <w:sz w:val="22"/>
              </w:rPr>
            </w:pPr>
          </w:p>
        </w:tc>
        <w:tc>
          <w:tcPr>
            <w:tcW w:w="992" w:type="dxa"/>
            <w:tcBorders>
              <w:bottom w:val="single" w:sz="12" w:space="0" w:color="8EAADB"/>
            </w:tcBorders>
            <w:textDirection w:val="btLr"/>
          </w:tcPr>
          <w:p w:rsidR="00275E65" w:rsidRDefault="00902217">
            <w:pPr>
              <w:pStyle w:val="Artblin"/>
              <w:tabs>
                <w:tab w:val="left" w:pos="709"/>
              </w:tabs>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Річне споживання теплової енергії з централізованого теплопостачання</w:t>
            </w:r>
          </w:p>
        </w:tc>
        <w:tc>
          <w:tcPr>
            <w:tcW w:w="858" w:type="dxa"/>
            <w:tcBorders>
              <w:bottom w:val="single" w:sz="12" w:space="0" w:color="8EAADB"/>
            </w:tcBorders>
            <w:textDirection w:val="btLr"/>
          </w:tcPr>
          <w:p w:rsidR="00275E65" w:rsidRDefault="00902217">
            <w:pPr>
              <w:pStyle w:val="Artblin"/>
              <w:tabs>
                <w:tab w:val="left" w:pos="709"/>
              </w:tabs>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Річне споживання електричної енергії</w:t>
            </w:r>
          </w:p>
        </w:tc>
        <w:tc>
          <w:tcPr>
            <w:tcW w:w="859" w:type="dxa"/>
            <w:tcBorders>
              <w:bottom w:val="single" w:sz="12" w:space="0" w:color="8EAADB"/>
            </w:tcBorders>
            <w:textDirection w:val="btLr"/>
          </w:tcPr>
          <w:p w:rsidR="00275E65" w:rsidRDefault="00902217">
            <w:pPr>
              <w:pStyle w:val="Artblin"/>
              <w:tabs>
                <w:tab w:val="left" w:pos="709"/>
              </w:tabs>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Річне споживання природного газу</w:t>
            </w:r>
          </w:p>
        </w:tc>
        <w:tc>
          <w:tcPr>
            <w:tcW w:w="859" w:type="dxa"/>
            <w:tcBorders>
              <w:bottom w:val="single" w:sz="12" w:space="0" w:color="8EAADB"/>
            </w:tcBorders>
            <w:textDirection w:val="btLr"/>
          </w:tcPr>
          <w:p w:rsidR="00275E65" w:rsidRDefault="00902217">
            <w:pPr>
              <w:pStyle w:val="Artblin"/>
              <w:tabs>
                <w:tab w:val="left" w:pos="709"/>
              </w:tabs>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Річне споживання біометану</w:t>
            </w:r>
          </w:p>
        </w:tc>
        <w:tc>
          <w:tcPr>
            <w:tcW w:w="859" w:type="dxa"/>
            <w:tcBorders>
              <w:bottom w:val="single" w:sz="12" w:space="0" w:color="8EAADB"/>
            </w:tcBorders>
            <w:textDirection w:val="btLr"/>
          </w:tcPr>
          <w:p w:rsidR="00275E65" w:rsidRDefault="00902217">
            <w:pPr>
              <w:pStyle w:val="Artblin"/>
              <w:tabs>
                <w:tab w:val="left" w:pos="709"/>
              </w:tabs>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Річне споживання біома</w:t>
            </w:r>
            <w:r>
              <w:rPr>
                <w:rFonts w:ascii="Times New Roman" w:hAnsi="Times New Roman" w:cs="Times New Roman"/>
                <w:sz w:val="22"/>
              </w:rPr>
              <w:t>си (пелети)</w:t>
            </w:r>
          </w:p>
        </w:tc>
        <w:tc>
          <w:tcPr>
            <w:tcW w:w="859" w:type="dxa"/>
            <w:tcBorders>
              <w:bottom w:val="single" w:sz="12" w:space="0" w:color="8EAADB"/>
            </w:tcBorders>
            <w:textDirection w:val="btLr"/>
          </w:tcPr>
          <w:p w:rsidR="00275E65" w:rsidRDefault="00902217">
            <w:pPr>
              <w:pStyle w:val="Artblin"/>
              <w:tabs>
                <w:tab w:val="left" w:pos="709"/>
              </w:tabs>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Річне споживання біомаси (тріска)</w:t>
            </w:r>
          </w:p>
        </w:tc>
        <w:tc>
          <w:tcPr>
            <w:tcW w:w="809" w:type="dxa"/>
            <w:tcBorders>
              <w:bottom w:val="single" w:sz="12" w:space="0" w:color="8EAADB"/>
            </w:tcBorders>
            <w:textDirection w:val="btLr"/>
          </w:tcPr>
          <w:p w:rsidR="00275E65" w:rsidRDefault="00902217">
            <w:pPr>
              <w:pStyle w:val="Artblin"/>
              <w:tabs>
                <w:tab w:val="left" w:pos="709"/>
              </w:tabs>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Річне споживання біомаси (дрова)</w:t>
            </w:r>
          </w:p>
        </w:tc>
        <w:tc>
          <w:tcPr>
            <w:tcW w:w="709" w:type="dxa"/>
            <w:tcBorders>
              <w:bottom w:val="single" w:sz="12" w:space="0" w:color="8EAADB"/>
            </w:tcBorders>
            <w:textDirection w:val="btLr"/>
          </w:tcPr>
          <w:p w:rsidR="00275E65" w:rsidRDefault="00902217">
            <w:pPr>
              <w:pStyle w:val="Artblin"/>
              <w:tabs>
                <w:tab w:val="left" w:pos="709"/>
              </w:tabs>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Річне споживання вугілля</w:t>
            </w:r>
          </w:p>
        </w:tc>
        <w:tc>
          <w:tcPr>
            <w:tcW w:w="1058" w:type="dxa"/>
            <w:tcBorders>
              <w:bottom w:val="single" w:sz="12" w:space="0" w:color="8EAADB"/>
            </w:tcBorders>
            <w:textDirection w:val="btLr"/>
          </w:tcPr>
          <w:p w:rsidR="00275E65" w:rsidRDefault="00902217">
            <w:pPr>
              <w:pStyle w:val="Artblin"/>
              <w:tabs>
                <w:tab w:val="left" w:pos="709"/>
              </w:tabs>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Річне споживання іншого виду енергії (торфяних брикетів)</w:t>
            </w:r>
          </w:p>
        </w:tc>
      </w:tr>
      <w:tr w:rsidR="00275E65" w:rsidTr="00275E65">
        <w:trPr>
          <w:trHeight w:val="1013"/>
        </w:trPr>
        <w:tc>
          <w:tcPr>
            <w:cnfStyle w:val="001000000000" w:firstRow="0" w:lastRow="0" w:firstColumn="1" w:lastColumn="0" w:oddVBand="0" w:evenVBand="0" w:oddHBand="0" w:evenHBand="0" w:firstRowFirstColumn="0" w:firstRowLastColumn="0" w:lastRowFirstColumn="0" w:lastRowLastColumn="0"/>
            <w:tcW w:w="1980" w:type="dxa"/>
          </w:tcPr>
          <w:p w:rsidR="00275E65" w:rsidRDefault="00902217">
            <w:pPr>
              <w:pStyle w:val="Artblin"/>
              <w:tabs>
                <w:tab w:val="left" w:pos="709"/>
              </w:tabs>
              <w:spacing w:line="276" w:lineRule="auto"/>
              <w:rPr>
                <w:rFonts w:ascii="Times New Roman" w:hAnsi="Times New Roman" w:cs="Times New Roman"/>
                <w:sz w:val="22"/>
              </w:rPr>
            </w:pPr>
            <w:r>
              <w:rPr>
                <w:rFonts w:ascii="Times New Roman" w:hAnsi="Times New Roman" w:cs="Times New Roman"/>
                <w:sz w:val="22"/>
              </w:rPr>
              <w:t xml:space="preserve">Фактичне енергоспоживання  будівель </w:t>
            </w:r>
          </w:p>
        </w:tc>
        <w:tc>
          <w:tcPr>
            <w:tcW w:w="992"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8"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0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70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058"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275E65" w:rsidTr="00275E65">
        <w:trPr>
          <w:trHeight w:val="337"/>
        </w:trPr>
        <w:tc>
          <w:tcPr>
            <w:cnfStyle w:val="001000000000" w:firstRow="0" w:lastRow="0" w:firstColumn="1" w:lastColumn="0" w:oddVBand="0" w:evenVBand="0" w:oddHBand="0" w:evenHBand="0" w:firstRowFirstColumn="0" w:firstRowLastColumn="0" w:lastRowFirstColumn="0" w:lastRowLastColumn="0"/>
            <w:tcW w:w="1980" w:type="dxa"/>
          </w:tcPr>
          <w:p w:rsidR="00275E65" w:rsidRDefault="00902217">
            <w:pPr>
              <w:pStyle w:val="Artblin"/>
              <w:tabs>
                <w:tab w:val="left" w:pos="709"/>
              </w:tabs>
              <w:spacing w:line="276" w:lineRule="auto"/>
              <w:rPr>
                <w:rFonts w:ascii="Times New Roman" w:hAnsi="Times New Roman" w:cs="Times New Roman"/>
                <w:sz w:val="22"/>
              </w:rPr>
            </w:pPr>
            <w:r>
              <w:rPr>
                <w:rFonts w:ascii="Times New Roman" w:hAnsi="Times New Roman" w:cs="Times New Roman"/>
                <w:sz w:val="22"/>
              </w:rPr>
              <w:t>…</w:t>
            </w:r>
          </w:p>
        </w:tc>
        <w:tc>
          <w:tcPr>
            <w:tcW w:w="992"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8"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0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70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058"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275E65" w:rsidTr="00275E65">
        <w:trPr>
          <w:trHeight w:val="337"/>
        </w:trPr>
        <w:tc>
          <w:tcPr>
            <w:cnfStyle w:val="001000000000" w:firstRow="0" w:lastRow="0" w:firstColumn="1" w:lastColumn="0" w:oddVBand="0" w:evenVBand="0" w:oddHBand="0" w:evenHBand="0" w:firstRowFirstColumn="0" w:firstRowLastColumn="0" w:lastRowFirstColumn="0" w:lastRowLastColumn="0"/>
            <w:tcW w:w="1980" w:type="dxa"/>
          </w:tcPr>
          <w:p w:rsidR="00275E65" w:rsidRDefault="00902217">
            <w:pPr>
              <w:pStyle w:val="Artblin"/>
              <w:tabs>
                <w:tab w:val="left" w:pos="709"/>
              </w:tabs>
              <w:spacing w:line="276" w:lineRule="auto"/>
              <w:rPr>
                <w:rFonts w:ascii="Times New Roman" w:hAnsi="Times New Roman" w:cs="Times New Roman"/>
                <w:sz w:val="22"/>
              </w:rPr>
            </w:pPr>
            <w:r>
              <w:rPr>
                <w:rFonts w:ascii="Times New Roman" w:hAnsi="Times New Roman" w:cs="Times New Roman"/>
                <w:sz w:val="22"/>
              </w:rPr>
              <w:t>…</w:t>
            </w:r>
          </w:p>
        </w:tc>
        <w:tc>
          <w:tcPr>
            <w:tcW w:w="992"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8"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0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70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058"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275E65" w:rsidTr="00275E65">
        <w:trPr>
          <w:trHeight w:val="337"/>
        </w:trPr>
        <w:tc>
          <w:tcPr>
            <w:cnfStyle w:val="001000000000" w:firstRow="0" w:lastRow="0" w:firstColumn="1" w:lastColumn="0" w:oddVBand="0" w:evenVBand="0" w:oddHBand="0" w:evenHBand="0" w:firstRowFirstColumn="0" w:firstRowLastColumn="0" w:lastRowFirstColumn="0" w:lastRowLastColumn="0"/>
            <w:tcW w:w="1980" w:type="dxa"/>
          </w:tcPr>
          <w:p w:rsidR="00275E65" w:rsidRDefault="00902217">
            <w:pPr>
              <w:pStyle w:val="Artblin"/>
              <w:tabs>
                <w:tab w:val="left" w:pos="709"/>
              </w:tabs>
              <w:spacing w:line="276" w:lineRule="auto"/>
              <w:rPr>
                <w:rFonts w:ascii="Times New Roman" w:hAnsi="Times New Roman" w:cs="Times New Roman"/>
                <w:sz w:val="22"/>
              </w:rPr>
            </w:pPr>
            <w:r>
              <w:rPr>
                <w:rFonts w:ascii="Times New Roman" w:hAnsi="Times New Roman" w:cs="Times New Roman"/>
                <w:sz w:val="22"/>
              </w:rPr>
              <w:t>Зовнішнє освітлення</w:t>
            </w:r>
          </w:p>
        </w:tc>
        <w:tc>
          <w:tcPr>
            <w:tcW w:w="992"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8"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5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80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70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058"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bl>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Приведення даних про отримані енергоресурси, перетворення та сповивання енергії до єдиної одиниці МВт*год відповідно таблиці Додатку 3 «Коефіцієнти перетворення».</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Втрати теплової енергії при транспортуванні знехтувані оскільки потребують окремого дослідження в кожному окремому випадку системи, натомість виходячи із розмірів централізованих систем і громаді ці втрати будуть мати непоказовий ефект на фоні загального с</w:t>
      </w:r>
      <w:r>
        <w:rPr>
          <w:rFonts w:ascii="Times New Roman" w:eastAsiaTheme="minorEastAsia" w:hAnsi="Times New Roman" w:cstheme="minorHAnsi"/>
          <w:sz w:val="22"/>
        </w:rPr>
        <w:t>поживання. При детальній розробці заходів з підвищення ефективності систем теплопостачання рекомендується порівняти показники питомих втрат в теплових мережах для кожної системи.</w:t>
      </w:r>
    </w:p>
    <w:p w:rsidR="00275E65" w:rsidRDefault="00275E65">
      <w:pPr>
        <w:pStyle w:val="Arord"/>
        <w:tabs>
          <w:tab w:val="left" w:pos="709"/>
        </w:tabs>
        <w:spacing w:after="0" w:line="276" w:lineRule="auto"/>
        <w:ind w:firstLine="567"/>
        <w:rPr>
          <w:rFonts w:ascii="Times New Roman" w:hAnsi="Times New Roman" w:cs="Times New Roman"/>
          <w:b/>
          <w:bCs/>
          <w:sz w:val="22"/>
        </w:rPr>
      </w:pPr>
      <w:bookmarkStart w:id="12" w:name="_Toc147345405"/>
    </w:p>
    <w:p w:rsidR="00275E65" w:rsidRDefault="00902217">
      <w:pPr>
        <w:spacing w:after="0" w:line="240" w:lineRule="auto"/>
        <w:rPr>
          <w:rFonts w:ascii="Times New Roman" w:hAnsi="Times New Roman" w:cs="Times New Roman"/>
          <w:b/>
          <w:bCs/>
          <w:lang w:val="uk-UA"/>
        </w:rPr>
      </w:pPr>
      <w:r>
        <w:rPr>
          <w:rFonts w:ascii="Times New Roman" w:eastAsiaTheme="minorEastAsia" w:hAnsi="Times New Roman" w:cstheme="minorHAnsi"/>
          <w:b/>
          <w:bCs/>
          <w:lang w:val="ru-RU"/>
        </w:rPr>
        <w:br w:type="page"/>
      </w:r>
    </w:p>
    <w:p w:rsidR="00275E65" w:rsidRDefault="00902217">
      <w:pPr>
        <w:pStyle w:val="Arord"/>
        <w:tabs>
          <w:tab w:val="left" w:pos="709"/>
        </w:tabs>
        <w:spacing w:after="0" w:line="276" w:lineRule="auto"/>
        <w:ind w:firstLine="567"/>
        <w:rPr>
          <w:rFonts w:ascii="Times New Roman" w:hAnsi="Times New Roman" w:cs="Times New Roman"/>
          <w:b/>
          <w:bCs/>
          <w:sz w:val="22"/>
        </w:rPr>
      </w:pPr>
      <w:r>
        <w:rPr>
          <w:rFonts w:ascii="Times New Roman" w:eastAsiaTheme="minorEastAsia" w:hAnsi="Times New Roman" w:cstheme="minorHAnsi"/>
          <w:b/>
          <w:bCs/>
          <w:sz w:val="22"/>
        </w:rPr>
        <w:lastRenderedPageBreak/>
        <w:t>Діаграма Сенкі</w:t>
      </w:r>
      <w:bookmarkEnd w:id="12"/>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Результати побудови діаграми надані на рисунку нижче.</w:t>
      </w:r>
    </w:p>
    <w:p w:rsidR="00275E65" w:rsidRDefault="00902217">
      <w:pPr>
        <w:pStyle w:val="Arord"/>
        <w:tabs>
          <w:tab w:val="left" w:pos="709"/>
        </w:tabs>
        <w:spacing w:after="0" w:line="276" w:lineRule="auto"/>
        <w:jc w:val="center"/>
        <w:rPr>
          <w:rFonts w:ascii="Times New Roman" w:hAnsi="Times New Roman" w:cs="Times New Roman"/>
          <w:sz w:val="22"/>
        </w:rPr>
      </w:pPr>
      <w:r>
        <w:rPr>
          <w:rFonts w:ascii="Times New Roman" w:eastAsiaTheme="minorEastAsia" w:hAnsi="Times New Roman" w:cstheme="minorHAnsi"/>
          <w:noProof/>
          <w:sz w:val="22"/>
          <w:lang w:val="ru-RU" w:eastAsia="ru-RU"/>
        </w:rPr>
        <mc:AlternateContent>
          <mc:Choice Requires="wpg">
            <w:drawing>
              <wp:inline distT="0" distB="0" distL="0" distR="0">
                <wp:extent cx="5940425" cy="4158615"/>
                <wp:effectExtent l="38100" t="38100" r="98425" b="89535"/>
                <wp:docPr id="11"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21"/>
                        <a:stretch/>
                      </pic:blipFill>
                      <pic:spPr bwMode="auto">
                        <a:xfrm>
                          <a:off x="0" y="0"/>
                          <a:ext cx="5940425" cy="4158615"/>
                        </a:xfrm>
                        <a:prstGeom prst="rect">
                          <a:avLst/>
                        </a:prstGeom>
                        <a:effectLst>
                          <a:outerShdw blurRad="50800" dist="38100" dir="2700000" rotWithShape="0">
                            <a:prstClr val="black">
                              <a:alpha val="40000"/>
                            </a:prstClr>
                          </a:outerShdw>
                        </a:effectLst>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467.8pt;height:327.4pt;" stroked="false">
                <v:path textboxrect="0,0,0,0"/>
                <v:imagedata r:id="rId22" o:title=""/>
              </v:shape>
            </w:pict>
          </mc:Fallback>
        </mc:AlternateContent>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3" w:name="_Toc147345446"/>
      <w:bookmarkStart w:id="14" w:name="_Toc168064849"/>
      <w:r>
        <w:rPr>
          <w:rFonts w:ascii="Times New Roman" w:eastAsiaTheme="minorEastAsia" w:hAnsi="Times New Roman" w:cstheme="minorHAnsi"/>
          <w:sz w:val="22"/>
        </w:rPr>
        <w:t>Річний енергетичний баланс у формі діаграми Сенкі для Носівської громади. Базовий рік – 2022. Одиниці виміру – МВт*год.</w:t>
      </w:r>
      <w:bookmarkEnd w:id="13"/>
      <w:bookmarkEnd w:id="14"/>
    </w:p>
    <w:p w:rsidR="00275E65" w:rsidRDefault="00275E65">
      <w:pPr>
        <w:pStyle w:val="Arord"/>
      </w:pPr>
    </w:p>
    <w:p w:rsidR="00275E65" w:rsidRDefault="00902217">
      <w:pPr>
        <w:pStyle w:val="ArHead2"/>
        <w:tabs>
          <w:tab w:val="left" w:pos="709"/>
        </w:tabs>
        <w:spacing w:after="0" w:line="276" w:lineRule="auto"/>
        <w:ind w:firstLine="567"/>
        <w:rPr>
          <w:rFonts w:ascii="Times New Roman" w:hAnsi="Times New Roman" w:cs="Times New Roman"/>
          <w:sz w:val="22"/>
          <w:lang w:val="ru-RU"/>
        </w:rPr>
      </w:pPr>
      <w:bookmarkStart w:id="15" w:name="_Toc168064805"/>
      <w:r>
        <w:rPr>
          <w:rFonts w:ascii="Times New Roman" w:eastAsiaTheme="minorEastAsia" w:hAnsi="Times New Roman" w:cstheme="minorHAnsi"/>
          <w:sz w:val="22"/>
        </w:rPr>
        <w:t>Енергетичний та інвестиційний баланс громади</w:t>
      </w:r>
      <w:bookmarkEnd w:id="15"/>
    </w:p>
    <w:p w:rsidR="00275E65" w:rsidRDefault="00902217">
      <w:pPr>
        <w:pStyle w:val="ArHead3"/>
        <w:tabs>
          <w:tab w:val="left" w:pos="709"/>
        </w:tabs>
        <w:spacing w:after="0" w:line="276" w:lineRule="auto"/>
        <w:ind w:firstLine="567"/>
        <w:rPr>
          <w:rFonts w:ascii="Times New Roman" w:hAnsi="Times New Roman" w:cs="Times New Roman"/>
          <w:sz w:val="22"/>
        </w:rPr>
      </w:pPr>
      <w:bookmarkStart w:id="16" w:name="_Toc147345407"/>
      <w:bookmarkStart w:id="17" w:name="_Toc168064806"/>
      <w:r>
        <w:rPr>
          <w:rFonts w:ascii="Times New Roman" w:eastAsiaTheme="minorEastAsia" w:hAnsi="Times New Roman" w:cstheme="minorHAnsi"/>
          <w:sz w:val="22"/>
        </w:rPr>
        <w:t>Енергетичні баланси</w:t>
      </w:r>
      <w:bookmarkEnd w:id="16"/>
      <w:bookmarkEnd w:id="17"/>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Відповідно Методики енергетичні баланси будуються у формі пласкої діаг</w:t>
      </w:r>
      <w:r>
        <w:rPr>
          <w:rFonts w:ascii="Times New Roman" w:eastAsiaTheme="minorEastAsia" w:hAnsi="Times New Roman" w:cstheme="minorHAnsi"/>
          <w:sz w:val="22"/>
        </w:rPr>
        <w:t>рами де кожен стовбець відповідає за відповідний попередній період довжиною в рік. Для побудови річного енергетичного балансу територіальної громади визначаються обсяги споживання та втрат енергії та комунальних послуг в показниках, приведених до МВт</w:t>
      </w:r>
      <w:r>
        <w:rPr>
          <w:rFonts w:ascii="Cambria Math" w:eastAsiaTheme="minorEastAsia" w:hAnsi="Cambria Math" w:cstheme="minorHAnsi"/>
          <w:sz w:val="22"/>
        </w:rPr>
        <w:t>⋅</w:t>
      </w:r>
      <w:r>
        <w:rPr>
          <w:rFonts w:ascii="Times New Roman" w:eastAsiaTheme="minorEastAsia" w:hAnsi="Times New Roman" w:cstheme="minorHAnsi"/>
          <w:sz w:val="22"/>
        </w:rPr>
        <w:t>год.</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 цьому розділі наведені енергетичні баланси засновані на отриманих даних у файлі - «Форми збору свод 2.xlsx».</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18" w:name="_Toc147345408"/>
      <w:r>
        <w:rPr>
          <w:rFonts w:ascii="Times New Roman" w:eastAsiaTheme="minorEastAsia" w:hAnsi="Times New Roman" w:cstheme="minorHAnsi"/>
          <w:b/>
          <w:bCs/>
          <w:sz w:val="22"/>
        </w:rPr>
        <w:t>Зовнішнє освітлення</w:t>
      </w:r>
      <w:bookmarkEnd w:id="18"/>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 діаграмі нижче використовуються дані вкладки «Зовнішнє освітлення».</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lastRenderedPageBreak/>
        <w:drawing>
          <wp:inline distT="0" distB="0" distL="0" distR="0">
            <wp:extent cx="5400040" cy="2879725"/>
            <wp:effectExtent l="0" t="0" r="10160" b="15875"/>
            <wp:docPr id="12"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9" w:name="_Toc147345447"/>
      <w:bookmarkStart w:id="20" w:name="_Toc168064850"/>
      <w:r>
        <w:rPr>
          <w:rFonts w:ascii="Times New Roman" w:eastAsiaTheme="minorEastAsia" w:hAnsi="Times New Roman" w:cstheme="minorHAnsi"/>
          <w:sz w:val="22"/>
        </w:rPr>
        <w:t>Споживання електроенергії системою вуличного освітлення.</w:t>
      </w:r>
      <w:bookmarkEnd w:id="19"/>
      <w:bookmarkEnd w:id="20"/>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Споживання за 2023 рік вказано не в повному обсязі, оскільки дата створення звіту – жовтень 2023. Зниження споживання в 2022 році може бути пояснене періодами блекаутів та світломаскуванням пов’язани</w:t>
      </w:r>
      <w:r>
        <w:rPr>
          <w:rFonts w:ascii="Times New Roman" w:eastAsiaTheme="minorEastAsia" w:hAnsi="Times New Roman" w:cstheme="minorHAnsi"/>
          <w:sz w:val="22"/>
        </w:rPr>
        <w:t>ми із військовою агресією росії до України.</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21" w:name="_Toc147345409"/>
      <w:r>
        <w:rPr>
          <w:rFonts w:ascii="Times New Roman" w:eastAsiaTheme="minorEastAsia" w:hAnsi="Times New Roman" w:cstheme="minorHAnsi"/>
          <w:b/>
          <w:bCs/>
          <w:sz w:val="22"/>
        </w:rPr>
        <w:t>Сфера теплопостачання</w:t>
      </w:r>
      <w:bookmarkEnd w:id="21"/>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40" cy="2879725"/>
            <wp:effectExtent l="0" t="0" r="0" b="0"/>
            <wp:docPr id="13"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22" w:name="_Toc147345448"/>
      <w:bookmarkStart w:id="23" w:name="_Toc168064851"/>
      <w:r>
        <w:rPr>
          <w:rFonts w:ascii="Times New Roman" w:eastAsiaTheme="minorEastAsia" w:hAnsi="Times New Roman" w:cstheme="minorHAnsi"/>
          <w:sz w:val="22"/>
        </w:rPr>
        <w:t>Споживання теплової енергії, що продукується локальними котельнями.</w:t>
      </w:r>
      <w:bookmarkEnd w:id="22"/>
      <w:bookmarkEnd w:id="23"/>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lastRenderedPageBreak/>
        <w:drawing>
          <wp:inline distT="0" distB="0" distL="0" distR="0">
            <wp:extent cx="5400040" cy="2879725"/>
            <wp:effectExtent l="0" t="0" r="10160" b="15875"/>
            <wp:docPr id="14"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24" w:name="_Toc147345449"/>
      <w:bookmarkStart w:id="25" w:name="_Toc168064852"/>
      <w:r>
        <w:rPr>
          <w:rFonts w:ascii="Times New Roman" w:eastAsiaTheme="minorEastAsia" w:hAnsi="Times New Roman" w:cstheme="minorHAnsi"/>
          <w:sz w:val="22"/>
        </w:rPr>
        <w:t>Споживання електроенергії локальними котельнями, що здійснюють теплопостачання.</w:t>
      </w:r>
      <w:bookmarkEnd w:id="24"/>
      <w:bookmarkEnd w:id="25"/>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Споживання електроенергії не має значн</w:t>
      </w:r>
      <w:r>
        <w:rPr>
          <w:rFonts w:ascii="Times New Roman" w:eastAsiaTheme="minorEastAsia" w:hAnsi="Times New Roman" w:cstheme="minorHAnsi"/>
          <w:sz w:val="22"/>
        </w:rPr>
        <w:t>их змін із року в рік, низький показник за 2023 рік пов'язаний з тим що час збору даних – середина 2023 року. В подальшому ці дані необхідно доповнити.</w:t>
      </w:r>
    </w:p>
    <w:p w:rsidR="00275E65" w:rsidRDefault="00902217">
      <w:pPr>
        <w:pStyle w:val="ArHead3"/>
        <w:tabs>
          <w:tab w:val="left" w:pos="709"/>
        </w:tabs>
        <w:spacing w:after="0" w:line="276" w:lineRule="auto"/>
        <w:ind w:firstLine="567"/>
        <w:rPr>
          <w:rFonts w:ascii="Times New Roman" w:hAnsi="Times New Roman" w:cs="Times New Roman"/>
          <w:sz w:val="22"/>
        </w:rPr>
      </w:pPr>
      <w:bookmarkStart w:id="26" w:name="_Toc147345410"/>
      <w:bookmarkStart w:id="27" w:name="_Toc168064807"/>
      <w:r>
        <w:rPr>
          <w:rFonts w:ascii="Times New Roman" w:eastAsiaTheme="minorEastAsia" w:hAnsi="Times New Roman" w:cstheme="minorHAnsi"/>
          <w:sz w:val="22"/>
        </w:rPr>
        <w:t>Вартісний баланс</w:t>
      </w:r>
      <w:bookmarkEnd w:id="26"/>
      <w:bookmarkEnd w:id="27"/>
    </w:p>
    <w:p w:rsidR="00275E65" w:rsidRDefault="00902217">
      <w:pPr>
        <w:pStyle w:val="Arord"/>
        <w:tabs>
          <w:tab w:val="left" w:pos="709"/>
        </w:tabs>
        <w:spacing w:after="0" w:line="276" w:lineRule="auto"/>
        <w:ind w:firstLine="567"/>
        <w:rPr>
          <w:rFonts w:ascii="Times New Roman" w:hAnsi="Times New Roman" w:cs="Times New Roman"/>
          <w:sz w:val="22"/>
        </w:rPr>
      </w:pPr>
      <w:bookmarkStart w:id="28" w:name="_Toc147345411"/>
      <w:bookmarkStart w:id="29" w:name="_Toc147140608"/>
      <w:r>
        <w:rPr>
          <w:rFonts w:ascii="Times New Roman" w:eastAsiaTheme="minorEastAsia" w:hAnsi="Times New Roman" w:cstheme="minorHAnsi"/>
          <w:sz w:val="22"/>
        </w:rPr>
        <w:t>Загальний вартісний баланс громади</w:t>
      </w:r>
      <w:bookmarkEnd w:id="28"/>
      <w:bookmarkEnd w:id="29"/>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 цьому розділі наведені енергетичні баланси засновані на отриманих даних у файлі - «Форми збору свод 2.xlsx».</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val="ru-RU"/>
        </w:rPr>
        <w:t>Нижче приведені загальні видатки громади на закупівлю енергетичних ресурсів.</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00" cy="2880000"/>
            <wp:effectExtent l="0" t="0" r="10795" b="15875"/>
            <wp:docPr id="15"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30" w:name="_Toc147345450"/>
      <w:bookmarkStart w:id="31" w:name="_Toc168064853"/>
      <w:r>
        <w:rPr>
          <w:rFonts w:ascii="Times New Roman" w:eastAsiaTheme="minorEastAsia" w:hAnsi="Times New Roman" w:cstheme="minorHAnsi"/>
          <w:sz w:val="22"/>
        </w:rPr>
        <w:t>Загальні витрати громади в розрізі секторів по роках</w:t>
      </w:r>
      <w:bookmarkEnd w:id="30"/>
      <w:bookmarkEnd w:id="31"/>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Аналіз минуло</w:t>
      </w:r>
      <w:r>
        <w:rPr>
          <w:rFonts w:ascii="Times New Roman" w:eastAsiaTheme="minorEastAsia" w:hAnsi="Times New Roman" w:cstheme="minorHAnsi"/>
          <w:sz w:val="22"/>
        </w:rPr>
        <w:t>го періоду демонструє ріст витрат за спожиті енергетичні ресурси, що більшою мірою пов’язано не з ростом споживання енергетичних ресурсів, а постійним ростом цін на ці ресурси.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На діаграмі нижче зображено витрати на енергетичні ресурси по секторах.</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lastRenderedPageBreak/>
        <w:drawing>
          <wp:inline distT="0" distB="0" distL="0" distR="0">
            <wp:extent cx="5400000" cy="2880000"/>
            <wp:effectExtent l="0" t="0" r="10795" b="15875"/>
            <wp:docPr id="16"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32" w:name="_Toc147345451"/>
      <w:bookmarkStart w:id="33" w:name="_Toc168064854"/>
      <w:r>
        <w:rPr>
          <w:rFonts w:ascii="Times New Roman" w:eastAsiaTheme="minorEastAsia" w:hAnsi="Times New Roman" w:cstheme="minorHAnsi"/>
          <w:sz w:val="22"/>
        </w:rPr>
        <w:t>Загал</w:t>
      </w:r>
      <w:r>
        <w:rPr>
          <w:rFonts w:ascii="Times New Roman" w:eastAsiaTheme="minorEastAsia" w:hAnsi="Times New Roman" w:cstheme="minorHAnsi"/>
          <w:sz w:val="22"/>
        </w:rPr>
        <w:t>ьні витрати громади по секторах</w:t>
      </w:r>
      <w:bookmarkEnd w:id="32"/>
      <w:bookmarkEnd w:id="33"/>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Найбільші витрати спостерігаються в секторі житлові будівлі, так як цей сектор споживає найбільшу кількість енергії.</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val="ru-RU"/>
        </w:rPr>
        <w:t>На діаграмі нижче зображено витрати коштів по кожному виду ресурсів.</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00" cy="2880000"/>
            <wp:effectExtent l="0" t="0" r="10795" b="15875"/>
            <wp:docPr id="17"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34" w:name="_Toc147345452"/>
      <w:bookmarkStart w:id="35" w:name="_Toc168064855"/>
      <w:r>
        <w:rPr>
          <w:rFonts w:ascii="Times New Roman" w:eastAsiaTheme="minorEastAsia" w:hAnsi="Times New Roman" w:cstheme="minorHAnsi"/>
          <w:sz w:val="22"/>
        </w:rPr>
        <w:t>Загальні витрати громади  по видах р</w:t>
      </w:r>
      <w:r>
        <w:rPr>
          <w:rFonts w:ascii="Times New Roman" w:eastAsiaTheme="minorEastAsia" w:hAnsi="Times New Roman" w:cstheme="minorHAnsi"/>
          <w:sz w:val="22"/>
        </w:rPr>
        <w:t>есурсів по роках</w:t>
      </w:r>
      <w:bookmarkEnd w:id="34"/>
      <w:bookmarkEnd w:id="35"/>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Аналогічно попередній діаграмі, аналіз минулого періоду демонструє ріст витрат за спожиті енергетичні ресурси. Зростання витрат по кожному з видів ресурсів пов’язано зі зростанням цін та тарифів на ресурси.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Нижче приведено витрати коштів н</w:t>
      </w:r>
      <w:r>
        <w:rPr>
          <w:rFonts w:ascii="Times New Roman" w:eastAsiaTheme="minorEastAsia" w:hAnsi="Times New Roman" w:cstheme="minorHAnsi"/>
          <w:sz w:val="22"/>
        </w:rPr>
        <w:t>а енергетичні ресурси з розбивкою по кожному виду ресурсу.</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lastRenderedPageBreak/>
        <w:drawing>
          <wp:inline distT="0" distB="0" distL="0" distR="0">
            <wp:extent cx="5400000" cy="2880000"/>
            <wp:effectExtent l="0" t="0" r="10795" b="15875"/>
            <wp:docPr id="18"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36" w:name="_Toc147345453"/>
      <w:bookmarkStart w:id="37" w:name="_Toc168064856"/>
      <w:r>
        <w:rPr>
          <w:rFonts w:ascii="Times New Roman" w:eastAsiaTheme="minorEastAsia" w:hAnsi="Times New Roman" w:cstheme="minorHAnsi"/>
          <w:sz w:val="22"/>
        </w:rPr>
        <w:t>Загальні витрати громади  по видах ресурсів</w:t>
      </w:r>
      <w:bookmarkEnd w:id="36"/>
      <w:bookmarkEnd w:id="37"/>
      <w:r>
        <w:rPr>
          <w:rFonts w:ascii="Times New Roman" w:eastAsiaTheme="minorEastAsia" w:hAnsi="Times New Roman" w:cstheme="minorHAnsi"/>
          <w:sz w:val="22"/>
        </w:rPr>
        <w:t xml:space="preserve">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Найбільші витрати пов’язані з купівлею електричної енергії (37%) та природнього газу (31%). Витрати на електричну енергію в першу чергу пов’язані з ви</w:t>
      </w:r>
      <w:r>
        <w:rPr>
          <w:rFonts w:ascii="Times New Roman" w:eastAsiaTheme="minorEastAsia" w:hAnsi="Times New Roman" w:cstheme="minorHAnsi"/>
          <w:sz w:val="22"/>
        </w:rPr>
        <w:t>щою ціною на цей вид ресурсу в порівняні з іншими видами ресурсів.</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38" w:name="_Toc147345412"/>
      <w:bookmarkStart w:id="39" w:name="_Toc147140609"/>
      <w:r>
        <w:rPr>
          <w:rFonts w:ascii="Times New Roman" w:eastAsiaTheme="minorEastAsia" w:hAnsi="Times New Roman" w:cstheme="minorHAnsi"/>
          <w:b/>
          <w:bCs/>
          <w:sz w:val="22"/>
        </w:rPr>
        <w:t>Громадські будівлі</w:t>
      </w:r>
      <w:bookmarkEnd w:id="38"/>
      <w:bookmarkEnd w:id="39"/>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збору свод 2.xlsx вкладка «Громадські будівлі».</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Нижче приведені загальні видатки громади на закупівлю енергетичних ресурсів в секторі громадські</w:t>
      </w:r>
      <w:r>
        <w:rPr>
          <w:rFonts w:ascii="Times New Roman" w:eastAsiaTheme="minorEastAsia" w:hAnsi="Times New Roman" w:cstheme="minorHAnsi"/>
          <w:sz w:val="22"/>
        </w:rPr>
        <w:t xml:space="preserve"> будівлі по роках та по типу споживачів (закладах).</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880000"/>
            <wp:effectExtent l="0" t="0" r="10795" b="15875"/>
            <wp:docPr id="19"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40" w:name="_Toc147345454"/>
      <w:bookmarkStart w:id="41" w:name="_Toc168064857"/>
      <w:r>
        <w:rPr>
          <w:rFonts w:ascii="Times New Roman" w:eastAsiaTheme="minorEastAsia" w:hAnsi="Times New Roman" w:cstheme="minorHAnsi"/>
          <w:sz w:val="22"/>
        </w:rPr>
        <w:t>Витрати громади  в секторі громадські будівлі по типам закладів по роках</w:t>
      </w:r>
      <w:bookmarkEnd w:id="40"/>
      <w:bookmarkEnd w:id="41"/>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Аналіз демонструє ріст витрат за спожиті енергетичні ресурси, що пов’язано не з ростом споживання енергетичних ресурсів, а постійним ростом цін на ці ресурси.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На діаграмі нижче зображено загальні витрати коштів на енергетичні ресурси з відображенням частки</w:t>
      </w:r>
      <w:r>
        <w:rPr>
          <w:rFonts w:ascii="Times New Roman" w:eastAsiaTheme="minorEastAsia" w:hAnsi="Times New Roman" w:cstheme="minorHAnsi"/>
          <w:sz w:val="22"/>
        </w:rPr>
        <w:t xml:space="preserve"> витрат по типу споживачів (закладах).</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lastRenderedPageBreak/>
        <w:drawing>
          <wp:inline distT="0" distB="0" distL="0" distR="0">
            <wp:extent cx="5400000" cy="2880000"/>
            <wp:effectExtent l="0" t="0" r="10795" b="15875"/>
            <wp:docPr id="20"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42" w:name="_Toc147345455"/>
      <w:bookmarkStart w:id="43" w:name="_Toc168064858"/>
      <w:r>
        <w:rPr>
          <w:rFonts w:ascii="Times New Roman" w:eastAsiaTheme="minorEastAsia" w:hAnsi="Times New Roman" w:cstheme="minorHAnsi"/>
          <w:sz w:val="22"/>
        </w:rPr>
        <w:t>Витрати громади  в секторі громадські будівлі по типам закладів</w:t>
      </w:r>
      <w:bookmarkEnd w:id="42"/>
      <w:bookmarkEnd w:id="43"/>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Найбільші витрати коштів за енергетичні ресурси спостерігаються в секторі заклади освіти (66%) на другому місці по витратам знаходиться сектор заклади </w:t>
      </w:r>
      <w:r>
        <w:rPr>
          <w:rFonts w:ascii="Times New Roman" w:eastAsiaTheme="minorEastAsia" w:hAnsi="Times New Roman" w:cstheme="minorHAnsi"/>
          <w:sz w:val="22"/>
        </w:rPr>
        <w:t xml:space="preserve">охорони здоров’я.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Далі приведені дані щодо витрати в секторі громадські будівлі по кожному з видів ресурсів.</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00" cy="2880000"/>
            <wp:effectExtent l="0" t="0" r="10795" b="15875"/>
            <wp:docPr id="21"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44" w:name="_Toc147345456"/>
      <w:bookmarkStart w:id="45" w:name="_Toc168064859"/>
      <w:r>
        <w:rPr>
          <w:rFonts w:ascii="Times New Roman" w:eastAsiaTheme="minorEastAsia" w:hAnsi="Times New Roman" w:cstheme="minorHAnsi"/>
          <w:sz w:val="22"/>
        </w:rPr>
        <w:t>Витрати громади  в секторі громадські будівлі по видам ресурсів по роках</w:t>
      </w:r>
      <w:bookmarkEnd w:id="44"/>
      <w:bookmarkEnd w:id="45"/>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В 2020 році спостерігається зменшення витрат на енергетичні ресурси, що</w:t>
      </w:r>
      <w:r>
        <w:rPr>
          <w:rFonts w:ascii="Times New Roman" w:eastAsiaTheme="minorEastAsia" w:hAnsi="Times New Roman" w:cstheme="minorHAnsi"/>
          <w:sz w:val="22"/>
        </w:rPr>
        <w:t xml:space="preserve"> пов’язано зі зменшенням споживання енергії в секторі громадські будівлі. </w:t>
      </w:r>
      <w:r>
        <w:rPr>
          <w:rFonts w:ascii="Times New Roman" w:eastAsiaTheme="minorEastAsia" w:hAnsi="Times New Roman" w:cstheme="minorHAnsi"/>
          <w:sz w:val="22"/>
          <w:lang w:val="ru-RU"/>
        </w:rPr>
        <w:t xml:space="preserve">З 2021 року спостерігається зростання витрат на енергію, які пов’язані зі зростанням цін на ресурси. З 2020 року значно зросли видатки пов’язані з закупівлею біомаси (дрова). </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val="ru-RU"/>
        </w:rPr>
        <w:t xml:space="preserve">Нижче </w:t>
      </w:r>
      <w:r>
        <w:rPr>
          <w:rFonts w:ascii="Times New Roman" w:eastAsiaTheme="minorEastAsia" w:hAnsi="Times New Roman" w:cstheme="minorHAnsi"/>
          <w:sz w:val="22"/>
          <w:lang w:val="ru-RU"/>
        </w:rPr>
        <w:t>зображено баланс витрат на енергетичні ресурси у розрізі видів ресурсів.</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lastRenderedPageBreak/>
        <w:drawing>
          <wp:inline distT="0" distB="0" distL="0" distR="0">
            <wp:extent cx="5400000" cy="2880000"/>
            <wp:effectExtent l="0" t="0" r="10795" b="15875"/>
            <wp:docPr id="22"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46" w:name="_Toc147345457"/>
      <w:bookmarkStart w:id="47" w:name="_Toc168064860"/>
      <w:r>
        <w:rPr>
          <w:rFonts w:ascii="Times New Roman" w:eastAsiaTheme="minorEastAsia" w:hAnsi="Times New Roman" w:cstheme="minorHAnsi"/>
          <w:sz w:val="22"/>
        </w:rPr>
        <w:t>Витрати громади  в секторі громадські будівлі по видам ресурсів</w:t>
      </w:r>
      <w:bookmarkEnd w:id="46"/>
      <w:bookmarkEnd w:id="47"/>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Найбільші видатки на енергетичні ресурси в секторі громадські будівлі припадають на теплову енергію - 80%.</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48" w:name="_Toc147345413"/>
      <w:bookmarkStart w:id="49" w:name="_Toc147140610"/>
      <w:r>
        <w:rPr>
          <w:rFonts w:ascii="Times New Roman" w:eastAsiaTheme="minorEastAsia" w:hAnsi="Times New Roman" w:cstheme="minorHAnsi"/>
          <w:b/>
          <w:bCs/>
          <w:sz w:val="22"/>
        </w:rPr>
        <w:t>Житлові бу</w:t>
      </w:r>
      <w:r>
        <w:rPr>
          <w:rFonts w:ascii="Times New Roman" w:eastAsiaTheme="minorEastAsia" w:hAnsi="Times New Roman" w:cstheme="minorHAnsi"/>
          <w:b/>
          <w:bCs/>
          <w:sz w:val="22"/>
        </w:rPr>
        <w:t>дівлі</w:t>
      </w:r>
      <w:bookmarkEnd w:id="48"/>
      <w:bookmarkEnd w:id="49"/>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збору свод 2.xlsx вкладка «Житлові будівлі».</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Нижче приведено вартісний баланс для сектору житлові будівлі.</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880000"/>
            <wp:effectExtent l="0" t="0" r="10795" b="15875"/>
            <wp:docPr id="23"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50" w:name="_Toc147345458"/>
      <w:bookmarkStart w:id="51" w:name="_Toc168064861"/>
      <w:r>
        <w:rPr>
          <w:rFonts w:ascii="Times New Roman" w:eastAsiaTheme="minorEastAsia" w:hAnsi="Times New Roman" w:cstheme="minorHAnsi"/>
          <w:sz w:val="22"/>
        </w:rPr>
        <w:t>Витрати громади  в секторі житлові будівлі по типам будівель по роках</w:t>
      </w:r>
      <w:bookmarkEnd w:id="50"/>
      <w:bookmarkEnd w:id="51"/>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Найбільше витрати за споживані енергетичні ре</w:t>
      </w:r>
      <w:r>
        <w:rPr>
          <w:rFonts w:ascii="Times New Roman" w:eastAsiaTheme="minorEastAsia" w:hAnsi="Times New Roman" w:cstheme="minorHAnsi"/>
          <w:sz w:val="22"/>
        </w:rPr>
        <w:t>сурси спостерігається в одноквартирних будівлях, так як більша кількість мешканців проживає саме в одноквартирних будинках (приватні домогосподарства).</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Розгляд вартісного балансу сектору житлові будівлі по видам ресурсу викладено нижче.</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lastRenderedPageBreak/>
        <w:drawing>
          <wp:inline distT="0" distB="0" distL="0" distR="0">
            <wp:extent cx="5400000" cy="2880000"/>
            <wp:effectExtent l="0" t="0" r="10795" b="15875"/>
            <wp:docPr id="24"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52" w:name="_Toc147345459"/>
      <w:bookmarkStart w:id="53" w:name="_Toc168064862"/>
      <w:r>
        <w:rPr>
          <w:rFonts w:ascii="Times New Roman" w:eastAsiaTheme="minorEastAsia" w:hAnsi="Times New Roman" w:cstheme="minorHAnsi"/>
          <w:sz w:val="22"/>
        </w:rPr>
        <w:t>Витрати громади  в секторі громадські будівлі по видам ресурсів по роках</w:t>
      </w:r>
      <w:bookmarkEnd w:id="52"/>
      <w:bookmarkEnd w:id="53"/>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Спостерігається тенденція росту витрат на закупівлю енергетичних ресурсів для кожного з представлених ресурсів.</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Нижче представлена частка кожного з видів ресурсу в загальному балансі </w:t>
      </w:r>
      <w:r>
        <w:rPr>
          <w:rFonts w:ascii="Times New Roman" w:eastAsiaTheme="minorEastAsia" w:hAnsi="Times New Roman" w:cstheme="minorHAnsi"/>
          <w:sz w:val="22"/>
        </w:rPr>
        <w:t>сектору житлові будівлі.</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Нижче зображено баланс витрат на енергетичні ресурси у розрізі видів палива.</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880000"/>
            <wp:effectExtent l="0" t="0" r="10795" b="15875"/>
            <wp:docPr id="25" name="Ді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54" w:name="_Toc147345460"/>
      <w:bookmarkStart w:id="55" w:name="_Toc168064863"/>
      <w:r>
        <w:rPr>
          <w:rFonts w:ascii="Times New Roman" w:eastAsiaTheme="minorEastAsia" w:hAnsi="Times New Roman" w:cstheme="minorHAnsi"/>
          <w:sz w:val="22"/>
        </w:rPr>
        <w:t>Витрати громади в секторі житлові будівлі по видам ресурсів</w:t>
      </w:r>
      <w:bookmarkEnd w:id="54"/>
      <w:bookmarkEnd w:id="55"/>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Найбільші витрати пов’язані зі споживанням природнього газу (52%) та електричної енергії (15</w:t>
      </w:r>
      <w:r>
        <w:rPr>
          <w:rFonts w:ascii="Times New Roman" w:eastAsiaTheme="minorEastAsia" w:hAnsi="Times New Roman" w:cstheme="minorHAnsi"/>
          <w:sz w:val="22"/>
        </w:rPr>
        <w:t>%).  Витрати на електричну енергію в першу чергу пов’язані з вищою ціною на цей вид ресурсу в порівняні з іншими видами ресерсів.</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56" w:name="_Toc147345414"/>
      <w:bookmarkStart w:id="57" w:name="_Toc147140611"/>
      <w:r>
        <w:rPr>
          <w:rFonts w:ascii="Times New Roman" w:eastAsiaTheme="minorEastAsia" w:hAnsi="Times New Roman" w:cstheme="minorHAnsi"/>
          <w:b/>
          <w:bCs/>
          <w:sz w:val="22"/>
        </w:rPr>
        <w:t>Сфера теплопостачання</w:t>
      </w:r>
      <w:bookmarkEnd w:id="56"/>
      <w:bookmarkEnd w:id="57"/>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збору свод 2.xlsx вкладка «Теплопостачання».</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Нижче приведено вартісний баланс </w:t>
      </w:r>
      <w:r>
        <w:rPr>
          <w:rFonts w:ascii="Times New Roman" w:eastAsiaTheme="minorEastAsia" w:hAnsi="Times New Roman" w:cstheme="minorHAnsi"/>
          <w:sz w:val="22"/>
        </w:rPr>
        <w:t>для сектору теплопостачання, тобто вартість ресурсів, спожитих на потреби теплопостачального (теплогенеруючого) підприємства.</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lastRenderedPageBreak/>
        <w:drawing>
          <wp:inline distT="0" distB="0" distL="0" distR="0">
            <wp:extent cx="5400000" cy="2880000"/>
            <wp:effectExtent l="0" t="0" r="10795" b="15875"/>
            <wp:docPr id="26" name="Ді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58" w:name="_Toc147345461"/>
      <w:bookmarkStart w:id="59" w:name="_Toc168064864"/>
      <w:r>
        <w:rPr>
          <w:rFonts w:ascii="Times New Roman" w:eastAsiaTheme="minorEastAsia" w:hAnsi="Times New Roman" w:cstheme="minorHAnsi"/>
          <w:sz w:val="22"/>
        </w:rPr>
        <w:t>Витрати громади  в секторі теплопостачання  по видам ресурсів по роках</w:t>
      </w:r>
      <w:bookmarkEnd w:id="58"/>
      <w:bookmarkEnd w:id="59"/>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Аналіз демонструє ріст витрат за спожиті енергетичні ресу</w:t>
      </w:r>
      <w:r>
        <w:rPr>
          <w:rFonts w:ascii="Times New Roman" w:eastAsiaTheme="minorEastAsia" w:hAnsi="Times New Roman" w:cstheme="minorHAnsi"/>
          <w:sz w:val="22"/>
        </w:rPr>
        <w:t>рси, що пов’язано як з ростом споживання енергетичних ресурсів, так і з постійним ростом цін на ці ресурси. У 2022 році спостерігається зменшення витрат на енергетичні ресурси у порівнянні з 2021 роком, що пов’язане зі зменшення виробленої теплової енергії</w:t>
      </w:r>
      <w:r>
        <w:rPr>
          <w:rFonts w:ascii="Times New Roman" w:eastAsiaTheme="minorEastAsia" w:hAnsi="Times New Roman" w:cstheme="minorHAnsi"/>
          <w:sz w:val="22"/>
        </w:rPr>
        <w:t xml:space="preserve"> в цей період.</w:t>
      </w: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880000"/>
            <wp:effectExtent l="0" t="0" r="10795" b="15875"/>
            <wp:docPr id="27"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60" w:name="_Toc147345462"/>
      <w:bookmarkStart w:id="61" w:name="_Toc168064865"/>
      <w:r>
        <w:rPr>
          <w:rFonts w:ascii="Times New Roman" w:eastAsiaTheme="minorEastAsia" w:hAnsi="Times New Roman" w:cstheme="minorHAnsi"/>
          <w:sz w:val="22"/>
        </w:rPr>
        <w:t>Витрати громади  в секторі теплопостачання  по видам ресурсів по роках</w:t>
      </w:r>
      <w:bookmarkEnd w:id="60"/>
      <w:bookmarkEnd w:id="61"/>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Найбільші видатки на енергетичні ресурси в секторі теплопостачання припадають на природній газ 56% та тверде паливо 41%.</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62" w:name="_Toc147345415"/>
      <w:bookmarkStart w:id="63" w:name="_Toc147140612"/>
      <w:r>
        <w:rPr>
          <w:rFonts w:ascii="Times New Roman" w:eastAsiaTheme="minorEastAsia" w:hAnsi="Times New Roman" w:cstheme="minorHAnsi"/>
          <w:b/>
          <w:bCs/>
          <w:sz w:val="22"/>
        </w:rPr>
        <w:t xml:space="preserve">Сфера </w:t>
      </w:r>
      <w:bookmarkStart w:id="64" w:name="_Hlk147136716"/>
      <w:r>
        <w:rPr>
          <w:rFonts w:ascii="Times New Roman" w:eastAsiaTheme="minorEastAsia" w:hAnsi="Times New Roman" w:cstheme="minorHAnsi"/>
          <w:b/>
          <w:bCs/>
          <w:sz w:val="22"/>
        </w:rPr>
        <w:t>водопостачання і водовідведення</w:t>
      </w:r>
      <w:bookmarkEnd w:id="62"/>
      <w:bookmarkEnd w:id="63"/>
      <w:bookmarkEnd w:id="64"/>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Вихідні </w:t>
      </w:r>
      <w:r>
        <w:rPr>
          <w:rFonts w:ascii="Times New Roman" w:eastAsiaTheme="minorEastAsia" w:hAnsi="Times New Roman" w:cstheme="minorHAnsi"/>
          <w:sz w:val="22"/>
        </w:rPr>
        <w:t>дані:  файл Форми збору свод 2.xlsx вкладка «Водопостачання і водовідведення».</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Витрати коштів в сфері водопостачання пов’язані з закупівлею електричної енергії, необхідної для роботи насосів, які забезпечують підйом та перекачку води. Нижче приведені загал</w:t>
      </w:r>
      <w:r>
        <w:rPr>
          <w:rFonts w:ascii="Times New Roman" w:eastAsiaTheme="minorEastAsia" w:hAnsi="Times New Roman" w:cstheme="minorHAnsi"/>
          <w:sz w:val="22"/>
        </w:rPr>
        <w:t>ьні видатки громади на закупівлю енергетичних ресурсів в секторі водопостачання і водовідведення для надання послуг з водопостачання.</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lastRenderedPageBreak/>
        <w:drawing>
          <wp:inline distT="0" distB="0" distL="0" distR="0">
            <wp:extent cx="5400000" cy="2880000"/>
            <wp:effectExtent l="0" t="0" r="10795" b="15875"/>
            <wp:docPr id="28" name="Діагра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65" w:name="_Toc147345463"/>
      <w:bookmarkStart w:id="66" w:name="_Toc168064866"/>
      <w:r>
        <w:rPr>
          <w:rFonts w:ascii="Times New Roman" w:eastAsiaTheme="minorEastAsia" w:hAnsi="Times New Roman" w:cstheme="minorHAnsi"/>
          <w:sz w:val="22"/>
        </w:rPr>
        <w:t>Витрати громади  в секторі водопостачання і водовідведення по видам наданих послуг по роках</w:t>
      </w:r>
      <w:bookmarkEnd w:id="65"/>
      <w:bookmarkEnd w:id="66"/>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Спостерігається зростання витрат, що пов’язане зі зростанням тарифу на електричну енергію.</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Нижче зображено баланс витрат на енергетичні ресурси у сфери споживання цієї енергії.</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160000"/>
            <wp:effectExtent l="0" t="0" r="10795" b="12065"/>
            <wp:docPr id="29" name="Діагра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67" w:name="_Toc147345464"/>
      <w:bookmarkStart w:id="68" w:name="_Toc168064867"/>
      <w:r>
        <w:rPr>
          <w:rFonts w:ascii="Times New Roman" w:eastAsiaTheme="minorEastAsia" w:hAnsi="Times New Roman" w:cstheme="minorHAnsi"/>
          <w:sz w:val="22"/>
        </w:rPr>
        <w:t>Витрати громади  в секторі водопостачання і водовідведення по видам наданих п</w:t>
      </w:r>
      <w:r>
        <w:rPr>
          <w:rFonts w:ascii="Times New Roman" w:eastAsiaTheme="minorEastAsia" w:hAnsi="Times New Roman" w:cstheme="minorHAnsi"/>
          <w:sz w:val="22"/>
        </w:rPr>
        <w:t>ослуг</w:t>
      </w:r>
      <w:bookmarkEnd w:id="67"/>
      <w:bookmarkEnd w:id="68"/>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Найбільші витрати пов’язані з закупівлею електричної енергії для надання послуг з водопостачання.</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69" w:name="_Toc147345416"/>
      <w:bookmarkStart w:id="70" w:name="_Toc147140613"/>
      <w:r>
        <w:rPr>
          <w:rFonts w:ascii="Times New Roman" w:eastAsiaTheme="minorEastAsia" w:hAnsi="Times New Roman" w:cstheme="minorHAnsi"/>
          <w:b/>
          <w:bCs/>
          <w:sz w:val="22"/>
        </w:rPr>
        <w:t>Сфера управління побутовими відходами</w:t>
      </w:r>
      <w:bookmarkEnd w:id="69"/>
      <w:bookmarkEnd w:id="70"/>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збору свод 2.xlsx вкладка «Управління побутовими відходами».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lang w:val="ru-RU"/>
        </w:rPr>
        <w:t>Витрати на енергетичні ресу</w:t>
      </w:r>
      <w:r>
        <w:rPr>
          <w:rFonts w:ascii="Times New Roman" w:eastAsiaTheme="minorEastAsia" w:hAnsi="Times New Roman" w:cstheme="minorHAnsi"/>
          <w:sz w:val="22"/>
          <w:lang w:val="ru-RU"/>
        </w:rPr>
        <w:t xml:space="preserve">рси в сфері управління побутовими відходами пов’язані з видатками на закупівлю палива для транспортних засобів необхідних для збору та утилізації побутових відходів. </w:t>
      </w:r>
      <w:r>
        <w:rPr>
          <w:rFonts w:ascii="Times New Roman" w:eastAsiaTheme="minorEastAsia" w:hAnsi="Times New Roman" w:cstheme="minorHAnsi"/>
          <w:sz w:val="22"/>
        </w:rPr>
        <w:t>Нижче зображено витрат на паливо.</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lastRenderedPageBreak/>
        <w:drawing>
          <wp:inline distT="0" distB="0" distL="0" distR="0">
            <wp:extent cx="5400000" cy="2880000"/>
            <wp:effectExtent l="0" t="0" r="10795" b="15875"/>
            <wp:docPr id="30" name="Діагра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71" w:name="_Toc147345465"/>
      <w:bookmarkStart w:id="72" w:name="_Toc168064868"/>
      <w:r>
        <w:rPr>
          <w:rFonts w:ascii="Times New Roman" w:eastAsiaTheme="minorEastAsia" w:hAnsi="Times New Roman" w:cstheme="minorHAnsi"/>
          <w:sz w:val="22"/>
        </w:rPr>
        <w:t>Витрати громади  в управління побутовими відходами по видам ресурсів по роках</w:t>
      </w:r>
      <w:bookmarkEnd w:id="71"/>
      <w:bookmarkEnd w:id="72"/>
    </w:p>
    <w:p w:rsidR="00275E65" w:rsidRDefault="00275E65">
      <w:pPr>
        <w:pStyle w:val="Arord"/>
        <w:tabs>
          <w:tab w:val="left" w:pos="709"/>
        </w:tabs>
        <w:spacing w:after="0" w:line="276" w:lineRule="auto"/>
        <w:ind w:firstLine="567"/>
        <w:rPr>
          <w:rFonts w:ascii="Times New Roman" w:hAnsi="Times New Roman" w:cs="Times New Roman"/>
          <w:sz w:val="22"/>
        </w:rPr>
      </w:pPr>
      <w:bookmarkStart w:id="73" w:name="_Toc147345466"/>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 цілому спостерігається зростання витрат, що пов’язане зі зростанням вартості палива. В 2020 році відбулося зменшення витрат на енергетичні ресурси в результаті впровадження за</w:t>
      </w:r>
      <w:r>
        <w:rPr>
          <w:rFonts w:ascii="Times New Roman" w:eastAsiaTheme="minorEastAsia" w:hAnsi="Times New Roman" w:cstheme="minorHAnsi"/>
          <w:sz w:val="22"/>
        </w:rPr>
        <w:t>ходів направлених на підвищення енергоефективності, які були реалізовані в 2019.</w:t>
      </w:r>
      <w:bookmarkEnd w:id="73"/>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74" w:name="_Toc147345417"/>
      <w:bookmarkStart w:id="75" w:name="_Toc147140614"/>
      <w:r>
        <w:rPr>
          <w:rFonts w:ascii="Times New Roman" w:eastAsiaTheme="minorEastAsia" w:hAnsi="Times New Roman" w:cstheme="minorHAnsi"/>
          <w:b/>
          <w:bCs/>
          <w:sz w:val="22"/>
        </w:rPr>
        <w:t>Зовнішнє освітлення</w:t>
      </w:r>
      <w:bookmarkEnd w:id="74"/>
      <w:bookmarkEnd w:id="75"/>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збору свод 2.xlsx вкладка «Зовнішнє освітлення».</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Витрати коштів в сфері зовнішнього освітлення пов’язані з закупівлею електричної</w:t>
      </w:r>
      <w:r>
        <w:rPr>
          <w:rFonts w:ascii="Times New Roman" w:eastAsiaTheme="minorEastAsia" w:hAnsi="Times New Roman" w:cstheme="minorHAnsi"/>
          <w:sz w:val="22"/>
        </w:rPr>
        <w:t xml:space="preserve"> енергії, необхідної для роботи світильників. Нижче приведені загальні видатки громади на закупівлю енергетичних ресурсів в секторі зовнішнього освітлення </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880000"/>
            <wp:effectExtent l="0" t="0" r="10795" b="15875"/>
            <wp:docPr id="31" name="Ді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76" w:name="_Toc147345467"/>
      <w:bookmarkStart w:id="77" w:name="_Toc168064869"/>
      <w:r>
        <w:rPr>
          <w:rFonts w:ascii="Times New Roman" w:eastAsiaTheme="minorEastAsia" w:hAnsi="Times New Roman" w:cstheme="minorHAnsi"/>
          <w:sz w:val="22"/>
        </w:rPr>
        <w:t>Витрати громади в секторі зовнішнє освітлення по видам наданих послуг по роках</w:t>
      </w:r>
      <w:bookmarkEnd w:id="76"/>
      <w:bookmarkEnd w:id="77"/>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 2019 році відбул</w:t>
      </w:r>
      <w:r>
        <w:rPr>
          <w:rFonts w:ascii="Times New Roman" w:eastAsiaTheme="minorEastAsia" w:hAnsi="Times New Roman" w:cstheme="minorHAnsi"/>
          <w:sz w:val="22"/>
        </w:rPr>
        <w:t>ося зменшення витрат на енергетичні ресурси в результаті впровадження заходів направлених на підвищення енергоефективності, які були реалізовані в 2019 -2021 роках.</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Нижче представлений баланс витрат в розрізі місця встановлення освітлювальних приладів.</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lastRenderedPageBreak/>
        <w:drawing>
          <wp:inline distT="0" distB="0" distL="0" distR="0">
            <wp:extent cx="5400000" cy="2160000"/>
            <wp:effectExtent l="0" t="0" r="10795" b="12065"/>
            <wp:docPr id="32" name="Ді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78" w:name="_Toc147345468"/>
      <w:bookmarkStart w:id="79" w:name="_Toc168064870"/>
      <w:r>
        <w:rPr>
          <w:rFonts w:ascii="Times New Roman" w:eastAsiaTheme="minorEastAsia" w:hAnsi="Times New Roman" w:cstheme="minorHAnsi"/>
          <w:sz w:val="22"/>
        </w:rPr>
        <w:t>Витрати громади в секторі зовнішнє освітлення по видам наданих послуг по роках</w:t>
      </w:r>
      <w:bookmarkEnd w:id="78"/>
      <w:bookmarkEnd w:id="79"/>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Найбільші витрати за споживані енергетичні ресурси відбувається в системі вуличного освітлення, яка встановлена на вулицях, дорогах, площах в межах населених пунктів і на яку пр</w:t>
      </w:r>
      <w:r>
        <w:rPr>
          <w:rFonts w:ascii="Times New Roman" w:eastAsiaTheme="minorEastAsia" w:hAnsi="Times New Roman" w:cstheme="minorHAnsi"/>
          <w:sz w:val="22"/>
        </w:rPr>
        <w:t>ипадає 99% всіх витрат.</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80" w:name="_Toc147345418"/>
      <w:bookmarkStart w:id="81" w:name="_Toc147140615"/>
      <w:r>
        <w:rPr>
          <w:rFonts w:ascii="Times New Roman" w:eastAsiaTheme="minorEastAsia" w:hAnsi="Times New Roman" w:cstheme="minorHAnsi"/>
          <w:b/>
          <w:bCs/>
          <w:sz w:val="22"/>
        </w:rPr>
        <w:t>Громадський транспорт</w:t>
      </w:r>
      <w:bookmarkEnd w:id="80"/>
      <w:bookmarkEnd w:id="81"/>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збору свод 2.xlsx вкладка «Громадський транспорт».</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Витрати на енергетичні ресурси в сфері управління побутовими відходами пов’язані з видатками на закупівлю палива для транспортних зас</w:t>
      </w:r>
      <w:r>
        <w:rPr>
          <w:rFonts w:ascii="Times New Roman" w:eastAsiaTheme="minorEastAsia" w:hAnsi="Times New Roman" w:cstheme="minorHAnsi"/>
          <w:sz w:val="22"/>
        </w:rPr>
        <w:t xml:space="preserve">обів необхідних для надання послуг з перевезення пасажирів. З 2021 року стиснений газ не закуповується і використовується лише дизель. Нижче зображено витрат на паливо. </w:t>
      </w: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880000"/>
            <wp:effectExtent l="0" t="0" r="10795" b="15875"/>
            <wp:docPr id="33" name="Діагра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82" w:name="_Toc147345469"/>
      <w:bookmarkStart w:id="83" w:name="_Toc168064871"/>
      <w:r>
        <w:rPr>
          <w:rFonts w:ascii="Times New Roman" w:eastAsiaTheme="minorEastAsia" w:hAnsi="Times New Roman" w:cstheme="minorHAnsi"/>
          <w:sz w:val="22"/>
        </w:rPr>
        <w:t>Витрати громади  секторі громадський транспорт по видам ресурсів по роках</w:t>
      </w:r>
      <w:bookmarkEnd w:id="82"/>
      <w:bookmarkEnd w:id="83"/>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Нерівномі</w:t>
      </w:r>
      <w:r>
        <w:rPr>
          <w:rFonts w:ascii="Times New Roman" w:eastAsiaTheme="minorEastAsia" w:hAnsi="Times New Roman" w:cstheme="minorHAnsi"/>
          <w:sz w:val="22"/>
        </w:rPr>
        <w:t>рність витрат на паливо та зростання витрат у 2021 році пов’язано зі зростанням цін на дизель та стиснений газ.</w:t>
      </w:r>
    </w:p>
    <w:p w:rsidR="00275E65" w:rsidRDefault="00902217">
      <w:pPr>
        <w:pStyle w:val="ArHead2"/>
        <w:tabs>
          <w:tab w:val="left" w:pos="709"/>
        </w:tabs>
        <w:spacing w:after="0" w:line="276" w:lineRule="auto"/>
        <w:ind w:firstLine="567"/>
        <w:rPr>
          <w:rFonts w:ascii="Times New Roman" w:hAnsi="Times New Roman" w:cs="Times New Roman"/>
          <w:sz w:val="22"/>
        </w:rPr>
      </w:pPr>
      <w:bookmarkStart w:id="84" w:name="_Toc147345419"/>
      <w:bookmarkStart w:id="85" w:name="_Toc168064808"/>
      <w:r>
        <w:rPr>
          <w:rFonts w:ascii="Times New Roman" w:eastAsiaTheme="minorEastAsia" w:hAnsi="Times New Roman" w:cstheme="minorHAnsi"/>
          <w:sz w:val="22"/>
        </w:rPr>
        <w:t>Інвестиційні баланси</w:t>
      </w:r>
      <w:bookmarkEnd w:id="84"/>
      <w:bookmarkEnd w:id="85"/>
    </w:p>
    <w:p w:rsidR="00275E65" w:rsidRDefault="00902217">
      <w:pPr>
        <w:pStyle w:val="Arord"/>
        <w:tabs>
          <w:tab w:val="left" w:pos="709"/>
        </w:tabs>
        <w:spacing w:after="0" w:line="276" w:lineRule="auto"/>
        <w:ind w:firstLine="567"/>
        <w:rPr>
          <w:rFonts w:ascii="Times New Roman" w:hAnsi="Times New Roman" w:cs="Times New Roman"/>
          <w:sz w:val="22"/>
        </w:rPr>
      </w:pPr>
      <w:bookmarkStart w:id="86" w:name="_Toc147140616"/>
      <w:bookmarkStart w:id="87" w:name="_Toc147345420"/>
      <w:bookmarkStart w:id="88" w:name="_Toc147140617"/>
      <w:bookmarkEnd w:id="86"/>
      <w:r>
        <w:rPr>
          <w:rFonts w:ascii="Times New Roman" w:eastAsiaTheme="minorEastAsia" w:hAnsi="Times New Roman" w:cstheme="minorHAnsi"/>
          <w:sz w:val="22"/>
        </w:rPr>
        <w:t>Загальний інвестиційний баланс громади</w:t>
      </w:r>
      <w:bookmarkEnd w:id="87"/>
      <w:bookmarkEnd w:id="88"/>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В цьому розділі наведені енергетичні баланси засновані на отриманих даних у файлі - </w:t>
      </w:r>
      <w:r>
        <w:rPr>
          <w:rFonts w:ascii="Times New Roman" w:eastAsiaTheme="minorEastAsia" w:hAnsi="Times New Roman" w:cstheme="minorHAnsi"/>
          <w:sz w:val="22"/>
        </w:rPr>
        <w:t>«Форми збору свод 2.xlsx».</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lastRenderedPageBreak/>
        <w:t>Нижче представлено обсяги капітальних витрат (видатків), залучених на реалізацію проєктів з підвищення енергетичної ефективності та розвитку відновлюваних джерел енергії по громаді по секторах громадські будівлі, житлові будівлі,</w:t>
      </w:r>
      <w:r>
        <w:rPr>
          <w:rFonts w:ascii="Times New Roman" w:eastAsiaTheme="minorEastAsia" w:hAnsi="Times New Roman" w:cstheme="minorHAnsi"/>
          <w:sz w:val="22"/>
        </w:rPr>
        <w:t xml:space="preserve"> сфера теплопостачання, сфера водопостачання і водовідведення, сфера управління побутовими відходами, зовнішнє освітлення та громадський транспорт. В даній діаграмі відсутні дані щодо інвестицій в секторі житлові будівлі, оскільки за цей період інвестицій </w:t>
      </w:r>
      <w:r>
        <w:rPr>
          <w:rFonts w:ascii="Times New Roman" w:eastAsiaTheme="minorEastAsia" w:hAnsi="Times New Roman" w:cstheme="minorHAnsi"/>
          <w:sz w:val="22"/>
        </w:rPr>
        <w:t>в багатоквартині будівлі були відсутні, а даних щодо інвестицій в одноквартирних будівлях немає.</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00" cy="2880000"/>
            <wp:effectExtent l="0" t="0" r="10795" b="15875"/>
            <wp:docPr id="34" name="Діагра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89" w:name="_Toc147345470"/>
      <w:bookmarkStart w:id="90" w:name="_Toc168064872"/>
      <w:r>
        <w:rPr>
          <w:rFonts w:ascii="Times New Roman" w:eastAsiaTheme="minorEastAsia" w:hAnsi="Times New Roman" w:cstheme="minorHAnsi"/>
          <w:sz w:val="22"/>
        </w:rPr>
        <w:t>Загальні інвестиції громади в розрізі секторів по роках</w:t>
      </w:r>
      <w:bookmarkEnd w:id="89"/>
      <w:bookmarkEnd w:id="90"/>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Найбільш інвестиційних витрат направлених на зменшення споживання енергетичних ресурсів та заміщення </w:t>
      </w:r>
      <w:r>
        <w:rPr>
          <w:rFonts w:ascii="Times New Roman" w:eastAsiaTheme="minorEastAsia" w:hAnsi="Times New Roman" w:cstheme="minorHAnsi"/>
          <w:sz w:val="22"/>
        </w:rPr>
        <w:t xml:space="preserve">традиційних джерел енергії на відновлювальні припадає на 2018-2020 роки. З 2017 по 2020 роки спостерігалася тенденція збільшення фінансування заходів з енергоефективності. Зменшення видатків пов’язано також з військовою агресією російської федерації проти </w:t>
      </w:r>
      <w:r>
        <w:rPr>
          <w:rFonts w:ascii="Times New Roman" w:eastAsiaTheme="minorEastAsia" w:hAnsi="Times New Roman" w:cstheme="minorHAnsi"/>
          <w:sz w:val="22"/>
        </w:rPr>
        <w:t>України.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На діаграмі нижче зображено частка інвестицій в розрізі секторів.</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00" cy="2880000"/>
            <wp:effectExtent l="0" t="0" r="10795" b="15875"/>
            <wp:docPr id="35" name="Діагра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91" w:name="_Toc147345471"/>
      <w:bookmarkStart w:id="92" w:name="_Toc168064873"/>
      <w:r>
        <w:rPr>
          <w:rFonts w:ascii="Times New Roman" w:eastAsiaTheme="minorEastAsia" w:hAnsi="Times New Roman" w:cstheme="minorHAnsi"/>
          <w:sz w:val="22"/>
        </w:rPr>
        <w:t>Загальні інвестиції громади по секторах</w:t>
      </w:r>
      <w:bookmarkEnd w:id="91"/>
      <w:bookmarkEnd w:id="92"/>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lastRenderedPageBreak/>
        <w:t>За період з 2017 по 2023 роки найбільше інвестицій було направлено в сектор зовнішнє освітлення (34%) та громадські будівлі (29%).</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93" w:name="_Toc147345421"/>
      <w:bookmarkStart w:id="94" w:name="_Toc147140618"/>
      <w:r>
        <w:rPr>
          <w:rFonts w:ascii="Times New Roman" w:eastAsiaTheme="minorEastAsia" w:hAnsi="Times New Roman" w:cstheme="minorHAnsi"/>
          <w:b/>
          <w:bCs/>
          <w:sz w:val="22"/>
        </w:rPr>
        <w:t>Громадські будівлі</w:t>
      </w:r>
      <w:bookmarkEnd w:id="93"/>
      <w:bookmarkEnd w:id="94"/>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збору свод 2.xlsx вкладка «Громадські будівлі».</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val="ru-RU"/>
        </w:rPr>
        <w:t>Нижче представлено інвестиційний баланс в секторі громадські будівлі.</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880000"/>
            <wp:effectExtent l="0" t="0" r="10795" b="15875"/>
            <wp:docPr id="36" name="Ді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95" w:name="_Toc147345472"/>
      <w:bookmarkStart w:id="96" w:name="_Toc168064874"/>
      <w:r>
        <w:rPr>
          <w:rFonts w:ascii="Times New Roman" w:eastAsiaTheme="minorEastAsia" w:hAnsi="Times New Roman" w:cstheme="minorHAnsi"/>
          <w:sz w:val="22"/>
        </w:rPr>
        <w:t>Інвестиції громади  в секторі громадські будівлі по роках</w:t>
      </w:r>
      <w:bookmarkEnd w:id="95"/>
      <w:bookmarkEnd w:id="96"/>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Кошти на реалізацію заходів з підв</w:t>
      </w:r>
      <w:r>
        <w:rPr>
          <w:rFonts w:ascii="Times New Roman" w:eastAsiaTheme="minorEastAsia" w:hAnsi="Times New Roman" w:cstheme="minorHAnsi"/>
          <w:sz w:val="22"/>
        </w:rPr>
        <w:t>ищення енергоефективності були виділені в 2018 та 2019 роках та були націлені на заклади освіти так як цей сектор має найбільші витрати коштів на оплату енергетичних ресурсів. Протягом періоду було реалізовано 3 заходи – 1 в закладі дошкільної освіти (дитя</w:t>
      </w:r>
      <w:r>
        <w:rPr>
          <w:rFonts w:ascii="Times New Roman" w:eastAsiaTheme="minorEastAsia" w:hAnsi="Times New Roman" w:cstheme="minorHAnsi"/>
          <w:sz w:val="22"/>
        </w:rPr>
        <w:t xml:space="preserve">чий садочок) та 2 в закладах освіти (школи). </w:t>
      </w: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tblname"/>
        <w:tabs>
          <w:tab w:val="left" w:pos="709"/>
        </w:tabs>
        <w:spacing w:line="276" w:lineRule="auto"/>
        <w:ind w:firstLine="567"/>
        <w:rPr>
          <w:rFonts w:ascii="Times New Roman" w:hAnsi="Times New Roman" w:cs="Times New Roman"/>
          <w:sz w:val="22"/>
        </w:rPr>
      </w:pPr>
      <w:bookmarkStart w:id="97" w:name="_Toc168064836"/>
      <w:r>
        <w:rPr>
          <w:rFonts w:ascii="Times New Roman" w:eastAsiaTheme="minorEastAsia" w:hAnsi="Times New Roman" w:cstheme="minorHAnsi"/>
          <w:sz w:val="22"/>
        </w:rPr>
        <w:t>Проєкти реалізовані в період 2018-2019 рр в секторі громадських будівель</w:t>
      </w:r>
      <w:bookmarkEnd w:id="97"/>
    </w:p>
    <w:tbl>
      <w:tblPr>
        <w:tblStyle w:val="GridTable5DarkAccent3"/>
        <w:tblW w:w="9246" w:type="dxa"/>
        <w:shd w:val="clear" w:color="auto" w:fill="EDEDED"/>
        <w:tblLayout w:type="fixed"/>
        <w:tblLook w:val="04A0" w:firstRow="1" w:lastRow="0" w:firstColumn="1" w:lastColumn="0" w:noHBand="0" w:noVBand="1"/>
      </w:tblPr>
      <w:tblGrid>
        <w:gridCol w:w="1021"/>
        <w:gridCol w:w="3596"/>
        <w:gridCol w:w="1649"/>
        <w:gridCol w:w="1344"/>
        <w:gridCol w:w="1636"/>
      </w:tblGrid>
      <w:tr w:rsidR="00275E65" w:rsidTr="00275E65">
        <w:trPr>
          <w:cnfStyle w:val="100000000000" w:firstRow="1" w:lastRow="0" w:firstColumn="0" w:lastColumn="0" w:oddVBand="0" w:evenVBand="0" w:oddHBand="0" w:evenHBand="0" w:firstRowFirstColumn="0" w:firstRowLastColumn="0" w:lastRowFirstColumn="0" w:lastRowLastColumn="0"/>
          <w:trHeight w:val="1589"/>
          <w:tblHeader/>
        </w:trPr>
        <w:tc>
          <w:tcPr>
            <w:cnfStyle w:val="001000000000" w:firstRow="0" w:lastRow="0" w:firstColumn="1" w:lastColumn="0" w:oddVBand="0" w:evenVBand="0" w:oddHBand="0" w:evenHBand="0" w:firstRowFirstColumn="0" w:firstRowLastColumn="0" w:lastRowFirstColumn="0" w:lastRowLastColumn="0"/>
            <w:tcW w:w="1021" w:type="dxa"/>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w:t>
            </w:r>
          </w:p>
        </w:tc>
        <w:tc>
          <w:tcPr>
            <w:tcW w:w="3596" w:type="dxa"/>
            <w:tcBorders>
              <w:bottom w:val="none" w:sz="4" w:space="0" w:color="000000"/>
            </w:tcBorders>
          </w:tcPr>
          <w:p w:rsidR="00275E65" w:rsidRDefault="00902217">
            <w:pPr>
              <w:pStyle w:val="Artblin"/>
              <w:tabs>
                <w:tab w:val="left" w:pos="709"/>
              </w:tabs>
              <w:spacing w:line="276" w:lineRule="auto"/>
              <w:ind w:firstLine="56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Назва та короткий опис проєкту модернізації</w:t>
            </w:r>
          </w:p>
        </w:tc>
        <w:tc>
          <w:tcPr>
            <w:tcW w:w="1649"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Джерело фінансування (місцевий бюджет, інші бюджети)</w:t>
            </w:r>
          </w:p>
        </w:tc>
        <w:tc>
          <w:tcPr>
            <w:tcW w:w="1344"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Роки виконання проєкту</w:t>
            </w:r>
          </w:p>
        </w:tc>
        <w:tc>
          <w:tcPr>
            <w:tcW w:w="1636"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Вартість ка</w:t>
            </w:r>
            <w:r>
              <w:rPr>
                <w:rFonts w:ascii="Times New Roman" w:hAnsi="Times New Roman" w:cs="Times New Roman"/>
                <w:sz w:val="22"/>
              </w:rPr>
              <w:t xml:space="preserve">пітальних витрат </w:t>
            </w:r>
            <w:r>
              <w:rPr>
                <w:rFonts w:ascii="Times New Roman" w:hAnsi="Times New Roman" w:cs="Times New Roman"/>
                <w:sz w:val="22"/>
              </w:rPr>
              <w:br/>
              <w:t xml:space="preserve">(без ПДВ), </w:t>
            </w:r>
            <w:r>
              <w:rPr>
                <w:rFonts w:ascii="Times New Roman" w:hAnsi="Times New Roman" w:cs="Times New Roman"/>
                <w:sz w:val="22"/>
              </w:rPr>
              <w:br/>
              <w:t xml:space="preserve">тис. грн </w:t>
            </w:r>
          </w:p>
        </w:tc>
      </w:tr>
      <w:tr w:rsidR="00275E65" w:rsidTr="00275E65">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02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1</w:t>
            </w:r>
          </w:p>
        </w:tc>
        <w:tc>
          <w:tcPr>
            <w:tcW w:w="3596" w:type="dxa"/>
          </w:tcPr>
          <w:p w:rsidR="00275E65" w:rsidRDefault="00902217">
            <w:pPr>
              <w:pStyle w:val="Artblin"/>
              <w:tabs>
                <w:tab w:val="left" w:pos="709"/>
              </w:tabs>
              <w:spacing w:line="276" w:lineRule="auto"/>
              <w:ind w:firstLine="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Капітальний ремонт частини даху (заміна покрівлі) Носівської міської гімназії Носівської міської ради Чернігівської області </w:t>
            </w:r>
          </w:p>
        </w:tc>
        <w:tc>
          <w:tcPr>
            <w:tcW w:w="1649"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344" w:type="dxa"/>
          </w:tcPr>
          <w:p w:rsidR="00275E65" w:rsidRDefault="00902217">
            <w:pPr>
              <w:pStyle w:val="Artblin"/>
              <w:tabs>
                <w:tab w:val="left" w:pos="709"/>
              </w:tabs>
              <w:spacing w:line="276" w:lineRule="auto"/>
              <w:ind w:firstLine="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2019</w:t>
            </w:r>
          </w:p>
        </w:tc>
        <w:tc>
          <w:tcPr>
            <w:tcW w:w="1636" w:type="dxa"/>
          </w:tcPr>
          <w:p w:rsidR="00275E65" w:rsidRDefault="00902217">
            <w:pPr>
              <w:pStyle w:val="Artblin"/>
              <w:tabs>
                <w:tab w:val="left" w:pos="709"/>
              </w:tabs>
              <w:spacing w:line="276" w:lineRule="auto"/>
              <w:ind w:firstLine="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2185,625</w:t>
            </w:r>
          </w:p>
        </w:tc>
      </w:tr>
      <w:tr w:rsidR="00275E65" w:rsidTr="00275E65">
        <w:trPr>
          <w:trHeight w:val="263"/>
        </w:trPr>
        <w:tc>
          <w:tcPr>
            <w:cnfStyle w:val="001000000000" w:firstRow="0" w:lastRow="0" w:firstColumn="1" w:lastColumn="0" w:oddVBand="0" w:evenVBand="0" w:oddHBand="0" w:evenHBand="0" w:firstRowFirstColumn="0" w:firstRowLastColumn="0" w:lastRowFirstColumn="0" w:lastRowLastColumn="0"/>
            <w:tcW w:w="102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2</w:t>
            </w:r>
          </w:p>
        </w:tc>
        <w:tc>
          <w:tcPr>
            <w:tcW w:w="359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Капітальний ремонт покрівлі ДНЗ №1 "Барвінок"</w:t>
            </w:r>
          </w:p>
        </w:tc>
        <w:tc>
          <w:tcPr>
            <w:tcW w:w="1649"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344" w:type="dxa"/>
          </w:tcPr>
          <w:p w:rsidR="00275E65" w:rsidRDefault="00902217">
            <w:pPr>
              <w:pStyle w:val="Artblin"/>
              <w:tabs>
                <w:tab w:val="left" w:pos="709"/>
              </w:tabs>
              <w:spacing w:line="276" w:lineRule="auto"/>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2019</w:t>
            </w:r>
          </w:p>
        </w:tc>
        <w:tc>
          <w:tcPr>
            <w:tcW w:w="1636" w:type="dxa"/>
          </w:tcPr>
          <w:p w:rsidR="00275E65" w:rsidRDefault="00902217">
            <w:pPr>
              <w:pStyle w:val="Artblin"/>
              <w:tabs>
                <w:tab w:val="left" w:pos="709"/>
              </w:tabs>
              <w:spacing w:line="276" w:lineRule="auto"/>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1479,472</w:t>
            </w:r>
          </w:p>
        </w:tc>
      </w:tr>
      <w:tr w:rsidR="00275E65" w:rsidTr="00275E65">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02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3</w:t>
            </w:r>
          </w:p>
        </w:tc>
        <w:tc>
          <w:tcPr>
            <w:tcW w:w="3596" w:type="dxa"/>
          </w:tcPr>
          <w:p w:rsidR="00275E65" w:rsidRDefault="00902217">
            <w:pPr>
              <w:pStyle w:val="Artblin"/>
              <w:tabs>
                <w:tab w:val="left" w:pos="709"/>
              </w:tabs>
              <w:spacing w:line="276" w:lineRule="auto"/>
              <w:ind w:firstLine="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Капітальний ремонт покрівлі приміщення школи с.Володькова Дівиця, Носівського району Чернігівської області</w:t>
            </w:r>
          </w:p>
        </w:tc>
        <w:tc>
          <w:tcPr>
            <w:tcW w:w="1649"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344" w:type="dxa"/>
          </w:tcPr>
          <w:p w:rsidR="00275E65" w:rsidRDefault="00902217">
            <w:pPr>
              <w:pStyle w:val="Artblin"/>
              <w:tabs>
                <w:tab w:val="left" w:pos="709"/>
              </w:tabs>
              <w:spacing w:line="276" w:lineRule="auto"/>
              <w:ind w:firstLine="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2018</w:t>
            </w:r>
          </w:p>
        </w:tc>
        <w:tc>
          <w:tcPr>
            <w:tcW w:w="1636" w:type="dxa"/>
          </w:tcPr>
          <w:p w:rsidR="00275E65" w:rsidRDefault="00902217">
            <w:pPr>
              <w:pStyle w:val="Artblin"/>
              <w:tabs>
                <w:tab w:val="left" w:pos="709"/>
              </w:tabs>
              <w:spacing w:line="276" w:lineRule="auto"/>
              <w:ind w:firstLine="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1412,346</w:t>
            </w:r>
          </w:p>
        </w:tc>
      </w:tr>
    </w:tbl>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98" w:name="_Toc147345422"/>
      <w:r>
        <w:rPr>
          <w:rFonts w:ascii="Times New Roman" w:eastAsiaTheme="minorEastAsia" w:hAnsi="Times New Roman" w:cstheme="minorHAnsi"/>
          <w:b/>
          <w:bCs/>
          <w:sz w:val="22"/>
        </w:rPr>
        <w:t>Житлові будівлі</w:t>
      </w:r>
      <w:bookmarkEnd w:id="98"/>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Відсутні дані щодо інвестицій в секторі житлові будівлі, оскільки за період з 2017 по 2023 рік інвестицій в багатоквартирні будівлі були відсутні, а  даних щодо інвестицій в одноквартирних будівлях немає.</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99" w:name="_Toc147345423"/>
      <w:bookmarkStart w:id="100" w:name="_Toc147140620"/>
      <w:r>
        <w:rPr>
          <w:rFonts w:ascii="Times New Roman" w:eastAsiaTheme="minorEastAsia" w:hAnsi="Times New Roman" w:cstheme="minorHAnsi"/>
          <w:b/>
          <w:bCs/>
          <w:sz w:val="22"/>
        </w:rPr>
        <w:t>Сфера теплопостачання</w:t>
      </w:r>
      <w:bookmarkEnd w:id="99"/>
      <w:bookmarkEnd w:id="100"/>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w:t>
      </w:r>
      <w:r>
        <w:rPr>
          <w:rFonts w:ascii="Times New Roman" w:eastAsiaTheme="minorEastAsia" w:hAnsi="Times New Roman" w:cstheme="minorHAnsi"/>
          <w:sz w:val="22"/>
        </w:rPr>
        <w:t>ру свод 2.xlsx вкладка «Теплопостачання».</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lang w:val="ru-RU"/>
        </w:rPr>
        <w:t xml:space="preserve">Інвестиції у сфері теплопостачання пов’язані з придбання та встановленням твердопаливних котлів. </w:t>
      </w:r>
      <w:r>
        <w:rPr>
          <w:rFonts w:ascii="Times New Roman" w:eastAsiaTheme="minorEastAsia" w:hAnsi="Times New Roman" w:cstheme="minorHAnsi"/>
          <w:sz w:val="22"/>
        </w:rPr>
        <w:t>Заходи впроваджувалися протягом 2022-2023 років. Інвестиційний баланс представлено нижче.</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880000"/>
            <wp:effectExtent l="0" t="0" r="10795" b="15875"/>
            <wp:docPr id="37" name="Ді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01" w:name="_Toc147345473"/>
      <w:bookmarkStart w:id="102" w:name="_Toc168064875"/>
      <w:r>
        <w:rPr>
          <w:rFonts w:ascii="Times New Roman" w:eastAsiaTheme="minorEastAsia" w:hAnsi="Times New Roman" w:cstheme="minorHAnsi"/>
          <w:sz w:val="22"/>
        </w:rPr>
        <w:t>Інвестиції громади  в сек</w:t>
      </w:r>
      <w:r>
        <w:rPr>
          <w:rFonts w:ascii="Times New Roman" w:eastAsiaTheme="minorEastAsia" w:hAnsi="Times New Roman" w:cstheme="minorHAnsi"/>
          <w:sz w:val="22"/>
        </w:rPr>
        <w:t>торі теплопостачання по роках</w:t>
      </w:r>
      <w:bookmarkEnd w:id="101"/>
      <w:bookmarkEnd w:id="102"/>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Перелік заходів які впроваджувалися, джерело фінансування та вартість представлені в таблиці.</w:t>
      </w:r>
    </w:p>
    <w:p w:rsidR="00275E65" w:rsidRDefault="00902217">
      <w:pPr>
        <w:pStyle w:val="Artblname"/>
        <w:tabs>
          <w:tab w:val="left" w:pos="709"/>
        </w:tabs>
        <w:spacing w:line="276" w:lineRule="auto"/>
        <w:ind w:firstLine="567"/>
        <w:rPr>
          <w:rFonts w:ascii="Times New Roman" w:hAnsi="Times New Roman" w:cs="Times New Roman"/>
          <w:sz w:val="22"/>
        </w:rPr>
      </w:pPr>
      <w:bookmarkStart w:id="103" w:name="_Toc168064837"/>
      <w:r>
        <w:rPr>
          <w:rFonts w:ascii="Times New Roman" w:eastAsiaTheme="minorEastAsia" w:hAnsi="Times New Roman" w:cstheme="minorHAnsi"/>
          <w:sz w:val="22"/>
        </w:rPr>
        <w:t>Проєкти реалізовані в період 2020-2023 рр в секторі теплопостачання.</w:t>
      </w:r>
      <w:bookmarkEnd w:id="103"/>
    </w:p>
    <w:tbl>
      <w:tblPr>
        <w:tblStyle w:val="GridTable5DarkAccent3"/>
        <w:tblW w:w="9351" w:type="dxa"/>
        <w:shd w:val="clear" w:color="auto" w:fill="EDEDED"/>
        <w:tblLayout w:type="fixed"/>
        <w:tblLook w:val="04A0" w:firstRow="1" w:lastRow="0" w:firstColumn="1" w:lastColumn="0" w:noHBand="0" w:noVBand="1"/>
      </w:tblPr>
      <w:tblGrid>
        <w:gridCol w:w="538"/>
        <w:gridCol w:w="3144"/>
        <w:gridCol w:w="1476"/>
        <w:gridCol w:w="1209"/>
        <w:gridCol w:w="1407"/>
        <w:gridCol w:w="1577"/>
      </w:tblGrid>
      <w:tr w:rsidR="00275E65" w:rsidTr="00275E65">
        <w:trPr>
          <w:cnfStyle w:val="100000000000" w:firstRow="1" w:lastRow="0" w:firstColumn="0" w:lastColumn="0" w:oddVBand="0" w:evenVBand="0" w:oddHBand="0" w:evenHBand="0" w:firstRowFirstColumn="0" w:firstRowLastColumn="0" w:lastRowFirstColumn="0" w:lastRowLastColumn="0"/>
          <w:trHeight w:val="1640"/>
          <w:tblHeader/>
        </w:trPr>
        <w:tc>
          <w:tcPr>
            <w:cnfStyle w:val="001000000000" w:firstRow="0" w:lastRow="0" w:firstColumn="1" w:lastColumn="0" w:oddVBand="0" w:evenVBand="0" w:oddHBand="0" w:evenHBand="0" w:firstRowFirstColumn="0" w:firstRowLastColumn="0" w:lastRowFirstColumn="0" w:lastRowLastColumn="0"/>
            <w:tcW w:w="538" w:type="dxa"/>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w:t>
            </w:r>
          </w:p>
        </w:tc>
        <w:tc>
          <w:tcPr>
            <w:tcW w:w="3144"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Pr>
                <w:rFonts w:ascii="Times New Roman" w:hAnsi="Times New Roman" w:cs="Times New Roman"/>
                <w:sz w:val="22"/>
                <w:lang w:val="ru-RU"/>
              </w:rPr>
              <w:t>Назва та короткий опис проєкту модернізації</w:t>
            </w:r>
          </w:p>
        </w:tc>
        <w:tc>
          <w:tcPr>
            <w:tcW w:w="1476"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Pr>
                <w:rFonts w:ascii="Times New Roman" w:hAnsi="Times New Roman" w:cs="Times New Roman"/>
                <w:sz w:val="22"/>
                <w:lang w:val="ru-RU"/>
              </w:rPr>
              <w:t>Джерело фінансування (власні кошти, місцевий бюджет, інші бюджети)</w:t>
            </w:r>
          </w:p>
        </w:tc>
        <w:tc>
          <w:tcPr>
            <w:tcW w:w="1209"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Роки виконання проєкту</w:t>
            </w:r>
          </w:p>
        </w:tc>
        <w:tc>
          <w:tcPr>
            <w:tcW w:w="1407"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Pr>
                <w:rFonts w:ascii="Times New Roman" w:hAnsi="Times New Roman" w:cs="Times New Roman"/>
                <w:sz w:val="22"/>
                <w:lang w:val="ru-RU"/>
              </w:rPr>
              <w:t>Стадія виконання (завершено, виконується, планується)</w:t>
            </w:r>
          </w:p>
        </w:tc>
        <w:tc>
          <w:tcPr>
            <w:tcW w:w="1577"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Pr>
                <w:rFonts w:ascii="Times New Roman" w:hAnsi="Times New Roman" w:cs="Times New Roman"/>
                <w:sz w:val="22"/>
                <w:lang w:val="ru-RU"/>
              </w:rPr>
              <w:t xml:space="preserve">Вартість капітальних витрат </w:t>
            </w:r>
            <w:r>
              <w:rPr>
                <w:rFonts w:ascii="Times New Roman" w:hAnsi="Times New Roman" w:cs="Times New Roman"/>
                <w:sz w:val="22"/>
                <w:lang w:val="ru-RU"/>
              </w:rPr>
              <w:br/>
              <w:t xml:space="preserve">(без ПДВ), </w:t>
            </w:r>
            <w:r>
              <w:rPr>
                <w:rFonts w:ascii="Times New Roman" w:hAnsi="Times New Roman" w:cs="Times New Roman"/>
                <w:sz w:val="22"/>
                <w:lang w:val="ru-RU"/>
              </w:rPr>
              <w:br/>
              <w:t xml:space="preserve">тис. грн </w:t>
            </w:r>
          </w:p>
        </w:tc>
      </w:tr>
      <w:tr w:rsidR="00275E65" w:rsidTr="00275E65">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538"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1</w:t>
            </w:r>
          </w:p>
        </w:tc>
        <w:tc>
          <w:tcPr>
            <w:tcW w:w="314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придбання та встановлення твердопаливних котлів " АLTEP"</w:t>
            </w:r>
            <w:r>
              <w:rPr>
                <w:rFonts w:ascii="Times New Roman" w:hAnsi="Times New Roman" w:cs="Times New Roman"/>
                <w:sz w:val="22"/>
              </w:rPr>
              <w:t>KT-2E-95кВт(DUO Plus) ," АLTEP"KT-2E-95кВт(DUO Plus), АLTEP"KT-2E-75кВт(DUO Plus)</w:t>
            </w:r>
          </w:p>
        </w:tc>
        <w:tc>
          <w:tcPr>
            <w:tcW w:w="14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 бюджет</w:t>
            </w:r>
          </w:p>
        </w:tc>
        <w:tc>
          <w:tcPr>
            <w:tcW w:w="1209"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2022</w:t>
            </w:r>
          </w:p>
        </w:tc>
        <w:tc>
          <w:tcPr>
            <w:tcW w:w="140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57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318</w:t>
            </w:r>
          </w:p>
        </w:tc>
      </w:tr>
      <w:tr w:rsidR="00275E65" w:rsidTr="00275E65">
        <w:trPr>
          <w:trHeight w:val="828"/>
        </w:trPr>
        <w:tc>
          <w:tcPr>
            <w:cnfStyle w:val="001000000000" w:firstRow="0" w:lastRow="0" w:firstColumn="1" w:lastColumn="0" w:oddVBand="0" w:evenVBand="0" w:oddHBand="0" w:evenHBand="0" w:firstRowFirstColumn="0" w:firstRowLastColumn="0" w:lastRowFirstColumn="0" w:lastRowLastColumn="0"/>
            <w:tcW w:w="538"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2</w:t>
            </w:r>
          </w:p>
        </w:tc>
        <w:tc>
          <w:tcPr>
            <w:tcW w:w="314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Pr>
                <w:rFonts w:ascii="Times New Roman" w:hAnsi="Times New Roman" w:cs="Times New Roman"/>
                <w:sz w:val="22"/>
                <w:lang w:val="ru-RU"/>
              </w:rPr>
              <w:t xml:space="preserve"> придбання та встановлення твердопаливного котла  </w:t>
            </w:r>
            <w:r>
              <w:rPr>
                <w:rFonts w:ascii="Times New Roman" w:hAnsi="Times New Roman" w:cs="Times New Roman"/>
                <w:sz w:val="22"/>
              </w:rPr>
              <w:t>ALTEP</w:t>
            </w:r>
            <w:r>
              <w:rPr>
                <w:rFonts w:ascii="Times New Roman" w:hAnsi="Times New Roman" w:cs="Times New Roman"/>
                <w:sz w:val="22"/>
                <w:lang w:val="ru-RU"/>
              </w:rPr>
              <w:t xml:space="preserve"> </w:t>
            </w:r>
            <w:r>
              <w:rPr>
                <w:rFonts w:ascii="Times New Roman" w:hAnsi="Times New Roman" w:cs="Times New Roman"/>
                <w:sz w:val="22"/>
              </w:rPr>
              <w:t>MAX</w:t>
            </w:r>
            <w:r>
              <w:rPr>
                <w:rFonts w:ascii="Times New Roman" w:hAnsi="Times New Roman" w:cs="Times New Roman"/>
                <w:sz w:val="22"/>
                <w:lang w:val="ru-RU"/>
              </w:rPr>
              <w:t xml:space="preserve"> 250кВт.</w:t>
            </w:r>
          </w:p>
        </w:tc>
        <w:tc>
          <w:tcPr>
            <w:tcW w:w="14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 бюджет</w:t>
            </w:r>
          </w:p>
        </w:tc>
        <w:tc>
          <w:tcPr>
            <w:tcW w:w="1209"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2023</w:t>
            </w:r>
          </w:p>
        </w:tc>
        <w:tc>
          <w:tcPr>
            <w:tcW w:w="140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виконується</w:t>
            </w:r>
          </w:p>
        </w:tc>
        <w:tc>
          <w:tcPr>
            <w:tcW w:w="157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298,7</w:t>
            </w:r>
          </w:p>
        </w:tc>
      </w:tr>
    </w:tbl>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104" w:name="_Toc147345424"/>
      <w:bookmarkStart w:id="105" w:name="_Toc147140621"/>
      <w:r>
        <w:rPr>
          <w:rFonts w:ascii="Times New Roman" w:eastAsiaTheme="minorEastAsia" w:hAnsi="Times New Roman" w:cstheme="minorHAnsi"/>
          <w:b/>
          <w:bCs/>
          <w:sz w:val="22"/>
        </w:rPr>
        <w:t>Сфера водопостачання і водовідведення</w:t>
      </w:r>
      <w:bookmarkEnd w:id="104"/>
      <w:bookmarkEnd w:id="105"/>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збору свод 2.xlsx вкладка «Водопостачання і водовідведення».</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Протягом усього періоду з 2017 по 2023 рік включно, щорічно відбувається реалізація заходів на підвищення енергоефективності як в с</w:t>
      </w:r>
      <w:r>
        <w:rPr>
          <w:rFonts w:ascii="Times New Roman" w:eastAsiaTheme="minorEastAsia" w:hAnsi="Times New Roman" w:cstheme="minorHAnsi"/>
          <w:sz w:val="22"/>
        </w:rPr>
        <w:t xml:space="preserve">фері водопостачання так і у сфері водовідведення. </w:t>
      </w:r>
      <w:r>
        <w:rPr>
          <w:rFonts w:ascii="Times New Roman" w:eastAsiaTheme="minorEastAsia" w:hAnsi="Times New Roman" w:cstheme="minorHAnsi"/>
          <w:sz w:val="22"/>
          <w:lang w:val="ru-RU"/>
        </w:rPr>
        <w:t>Нижче зображені інвестиції по роках, по сферах та джерелах фінансування.</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880000"/>
            <wp:effectExtent l="0" t="0" r="10795" b="15875"/>
            <wp:docPr id="38" name="Діагра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06" w:name="_Toc147345474"/>
      <w:bookmarkStart w:id="107" w:name="_Toc168064876"/>
      <w:r>
        <w:rPr>
          <w:rFonts w:ascii="Times New Roman" w:eastAsiaTheme="minorEastAsia" w:hAnsi="Times New Roman" w:cstheme="minorHAnsi"/>
          <w:sz w:val="22"/>
        </w:rPr>
        <w:t>Інвестиції громади  в секторі водопостачання і водовідведення по роках</w:t>
      </w:r>
      <w:bookmarkEnd w:id="106"/>
      <w:bookmarkEnd w:id="107"/>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880000"/>
            <wp:effectExtent l="0" t="0" r="10795" b="15875"/>
            <wp:docPr id="39" name="Діагра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08" w:name="_Toc147345475"/>
      <w:bookmarkStart w:id="109" w:name="_Toc168064877"/>
      <w:r>
        <w:rPr>
          <w:rFonts w:ascii="Times New Roman" w:eastAsiaTheme="minorEastAsia" w:hAnsi="Times New Roman" w:cstheme="minorHAnsi"/>
          <w:sz w:val="22"/>
        </w:rPr>
        <w:t>Інвестиції громади в секторі водопостачання і водовідведен</w:t>
      </w:r>
      <w:r>
        <w:rPr>
          <w:rFonts w:ascii="Times New Roman" w:eastAsiaTheme="minorEastAsia" w:hAnsi="Times New Roman" w:cstheme="minorHAnsi"/>
          <w:sz w:val="22"/>
        </w:rPr>
        <w:t>ня по роках та по джерелах коштів</w:t>
      </w:r>
      <w:bookmarkEnd w:id="108"/>
      <w:bookmarkEnd w:id="109"/>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00" cy="2880000"/>
            <wp:effectExtent l="0" t="0" r="10795" b="15875"/>
            <wp:docPr id="40" name="Діагра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10" w:name="_Toc147345476"/>
      <w:bookmarkStart w:id="111" w:name="_Toc168064878"/>
      <w:r>
        <w:rPr>
          <w:rFonts w:ascii="Times New Roman" w:eastAsiaTheme="minorEastAsia" w:hAnsi="Times New Roman" w:cstheme="minorHAnsi"/>
          <w:sz w:val="22"/>
        </w:rPr>
        <w:t>Інвестиції громади  в секторі водопостачання і водовідведення по роках та по джерелах коштів та по видам послуг, що надаються</w:t>
      </w:r>
      <w:bookmarkEnd w:id="110"/>
      <w:bookmarkEnd w:id="111"/>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Інвестиції у сфері водопостачання та водовідведення по джерелах фінансування зображено нижче.</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00" cy="2160000"/>
            <wp:effectExtent l="0" t="0" r="10795" b="12065"/>
            <wp:docPr id="41" name="Діагра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12" w:name="_Toc147345477"/>
      <w:bookmarkStart w:id="113" w:name="_Toc168064879"/>
      <w:r>
        <w:rPr>
          <w:rFonts w:ascii="Times New Roman" w:eastAsiaTheme="minorEastAsia" w:hAnsi="Times New Roman" w:cstheme="minorHAnsi"/>
          <w:sz w:val="22"/>
        </w:rPr>
        <w:t>Інвестиції громади  в секторі водопостачання і водовідведення по джерелах коштів</w:t>
      </w:r>
      <w:bookmarkEnd w:id="112"/>
      <w:bookmarkEnd w:id="113"/>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Інвестиції по сферах зображено нижче.</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00" cy="2160000"/>
            <wp:effectExtent l="0" t="0" r="10795" b="12065"/>
            <wp:docPr id="42" name="Діагра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14" w:name="_Toc147345478"/>
      <w:bookmarkStart w:id="115" w:name="_Toc168064880"/>
      <w:r>
        <w:rPr>
          <w:rFonts w:ascii="Times New Roman" w:eastAsiaTheme="minorEastAsia" w:hAnsi="Times New Roman" w:cstheme="minorHAnsi"/>
          <w:sz w:val="22"/>
        </w:rPr>
        <w:t>Інвестиції громади  в секторі водопостачання і водовідведення по видам послуг, що надаються</w:t>
      </w:r>
      <w:bookmarkEnd w:id="114"/>
      <w:bookmarkEnd w:id="115"/>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116" w:name="_Toc147345425"/>
      <w:bookmarkStart w:id="117" w:name="_Toc147140622"/>
      <w:r>
        <w:rPr>
          <w:rFonts w:ascii="Times New Roman" w:eastAsiaTheme="minorEastAsia" w:hAnsi="Times New Roman" w:cstheme="minorHAnsi"/>
          <w:b/>
          <w:bCs/>
          <w:sz w:val="22"/>
        </w:rPr>
        <w:t>Сфера управління побутовими відходами</w:t>
      </w:r>
      <w:bookmarkEnd w:id="116"/>
      <w:bookmarkEnd w:id="117"/>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збору свод 2.xlsx вкладка «Управління побутовими відходами».Нижче представлено інвестиційний баланс в секторі управління побутовими відходами.</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00" cy="2880000"/>
            <wp:effectExtent l="0" t="0" r="10795" b="15875"/>
            <wp:docPr id="43" name="Діагра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18" w:name="_Toc147345479"/>
      <w:bookmarkStart w:id="119" w:name="_Toc168064881"/>
      <w:r>
        <w:rPr>
          <w:rFonts w:ascii="Times New Roman" w:eastAsiaTheme="minorEastAsia" w:hAnsi="Times New Roman" w:cstheme="minorHAnsi"/>
          <w:sz w:val="22"/>
        </w:rPr>
        <w:t>Інвестиції громади  в секторі управління побутовими відходами по роках</w:t>
      </w:r>
      <w:bookmarkEnd w:id="118"/>
      <w:bookmarkEnd w:id="119"/>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Реалізація зах</w:t>
      </w:r>
      <w:r>
        <w:rPr>
          <w:rFonts w:ascii="Times New Roman" w:eastAsiaTheme="minorEastAsia" w:hAnsi="Times New Roman" w:cstheme="minorHAnsi"/>
          <w:sz w:val="22"/>
        </w:rPr>
        <w:t>одів відбувалося майже щороку окрім 2021 та 2022 років.</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Часта різних джерел фінансування секторі управління побутовими відходами зображено нижче.</w:t>
      </w:r>
    </w:p>
    <w:p w:rsidR="00275E65" w:rsidRDefault="00902217">
      <w:pPr>
        <w:tabs>
          <w:tab w:val="left" w:pos="709"/>
        </w:tabs>
        <w:spacing w:after="0" w:line="276" w:lineRule="auto"/>
        <w:ind w:firstLine="567"/>
        <w:jc w:val="center"/>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400000" cy="2880000"/>
            <wp:effectExtent l="0" t="0" r="10795" b="15875"/>
            <wp:docPr id="44" name="Діагра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20" w:name="_Toc147345480"/>
      <w:bookmarkStart w:id="121" w:name="_Toc168064882"/>
      <w:r>
        <w:rPr>
          <w:rFonts w:ascii="Times New Roman" w:eastAsiaTheme="minorEastAsia" w:hAnsi="Times New Roman" w:cstheme="minorHAnsi"/>
          <w:sz w:val="22"/>
        </w:rPr>
        <w:t>Інвестиції громади  в секторі управління побутовими відходами</w:t>
      </w:r>
      <w:bookmarkEnd w:id="120"/>
      <w:bookmarkEnd w:id="121"/>
      <w:r>
        <w:rPr>
          <w:rFonts w:ascii="Times New Roman" w:eastAsiaTheme="minorEastAsia" w:hAnsi="Times New Roman" w:cstheme="minorHAnsi"/>
          <w:sz w:val="22"/>
        </w:rPr>
        <w:t xml:space="preserve"> </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122" w:name="_Toc147345426"/>
      <w:bookmarkStart w:id="123" w:name="_Toc147140623"/>
      <w:r>
        <w:rPr>
          <w:rFonts w:ascii="Times New Roman" w:eastAsiaTheme="minorEastAsia" w:hAnsi="Times New Roman" w:cstheme="minorHAnsi"/>
          <w:b/>
          <w:bCs/>
          <w:sz w:val="22"/>
        </w:rPr>
        <w:t>Зовнішнє освітлення</w:t>
      </w:r>
      <w:bookmarkEnd w:id="122"/>
      <w:bookmarkEnd w:id="123"/>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w:t>
      </w:r>
      <w:r>
        <w:rPr>
          <w:rFonts w:ascii="Times New Roman" w:eastAsiaTheme="minorEastAsia" w:hAnsi="Times New Roman" w:cstheme="minorHAnsi"/>
          <w:sz w:val="22"/>
        </w:rPr>
        <w:t xml:space="preserve"> збору свод 2.xlsx вкладка «Зовнішнє освітлення».</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 xml:space="preserve">Протягом усього періоду з 2017 по 2022 рік включно, щорічно відбувається реалізація заходів на підвищення енергоефективності в сфері зовнішнього освітлення.  </w:t>
      </w:r>
      <w:r>
        <w:rPr>
          <w:rFonts w:ascii="Times New Roman" w:eastAsiaTheme="minorEastAsia" w:hAnsi="Times New Roman" w:cstheme="minorHAnsi"/>
          <w:sz w:val="22"/>
          <w:lang w:val="ru-RU"/>
        </w:rPr>
        <w:t>Всі видатки покривалися з бюджету місцевого само</w:t>
      </w:r>
      <w:r>
        <w:rPr>
          <w:rFonts w:ascii="Times New Roman" w:eastAsiaTheme="minorEastAsia" w:hAnsi="Times New Roman" w:cstheme="minorHAnsi"/>
          <w:sz w:val="22"/>
          <w:lang w:val="ru-RU"/>
        </w:rPr>
        <w:t>врядування. Нижче зображені інвестиції по роках.</w:t>
      </w:r>
    </w:p>
    <w:p w:rsidR="00275E65" w:rsidRDefault="00275E65">
      <w:pPr>
        <w:pStyle w:val="Arord"/>
        <w:tabs>
          <w:tab w:val="left" w:pos="709"/>
        </w:tabs>
        <w:spacing w:after="0" w:line="276" w:lineRule="auto"/>
        <w:ind w:firstLine="567"/>
        <w:rPr>
          <w:rFonts w:ascii="Times New Roman" w:hAnsi="Times New Roman" w:cs="Times New Roman"/>
          <w:sz w:val="22"/>
          <w:lang w:val="ru-RU"/>
        </w:rPr>
      </w:pP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00" cy="2880000"/>
            <wp:effectExtent l="0" t="0" r="10795" b="15875"/>
            <wp:docPr id="45" name="Діагра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24" w:name="_Toc147345481"/>
      <w:bookmarkStart w:id="125" w:name="_Toc168064883"/>
      <w:r>
        <w:rPr>
          <w:rFonts w:ascii="Times New Roman" w:eastAsiaTheme="minorEastAsia" w:hAnsi="Times New Roman" w:cstheme="minorHAnsi"/>
          <w:sz w:val="22"/>
        </w:rPr>
        <w:t>Інвестиції громади  в зовнішнє освітлення відходами по роках</w:t>
      </w:r>
      <w:bookmarkEnd w:id="124"/>
      <w:bookmarkEnd w:id="125"/>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Перелік заходів які впроваджувалися, джерело фінансування, рік виконання та вартість представлені в таблиці.</w:t>
      </w:r>
    </w:p>
    <w:p w:rsidR="00275E65" w:rsidRDefault="00902217">
      <w:pPr>
        <w:pStyle w:val="Artblname"/>
        <w:tabs>
          <w:tab w:val="left" w:pos="709"/>
        </w:tabs>
        <w:spacing w:line="276" w:lineRule="auto"/>
        <w:ind w:firstLine="567"/>
        <w:rPr>
          <w:rFonts w:ascii="Times New Roman" w:hAnsi="Times New Roman" w:cs="Times New Roman"/>
          <w:sz w:val="22"/>
        </w:rPr>
      </w:pPr>
      <w:bookmarkStart w:id="126" w:name="_Toc168064838"/>
      <w:r>
        <w:rPr>
          <w:rFonts w:ascii="Times New Roman" w:eastAsiaTheme="minorEastAsia" w:hAnsi="Times New Roman" w:cstheme="minorHAnsi"/>
          <w:sz w:val="22"/>
        </w:rPr>
        <w:t xml:space="preserve">Перелі заходів які впровадження в </w:t>
      </w:r>
      <w:r>
        <w:rPr>
          <w:rFonts w:ascii="Times New Roman" w:eastAsiaTheme="minorEastAsia" w:hAnsi="Times New Roman" w:cstheme="minorHAnsi"/>
          <w:sz w:val="22"/>
        </w:rPr>
        <w:t>період 2017-2022 рр в секторі зовнішнього освітлення.</w:t>
      </w:r>
      <w:bookmarkEnd w:id="126"/>
    </w:p>
    <w:tbl>
      <w:tblPr>
        <w:tblStyle w:val="GridTable5DarkAccent3"/>
        <w:tblW w:w="9629" w:type="dxa"/>
        <w:shd w:val="clear" w:color="auto" w:fill="EDEDED"/>
        <w:tblLayout w:type="fixed"/>
        <w:tblLook w:val="04A0" w:firstRow="1" w:lastRow="0" w:firstColumn="1" w:lastColumn="0" w:noHBand="0" w:noVBand="1"/>
      </w:tblPr>
      <w:tblGrid>
        <w:gridCol w:w="236"/>
        <w:gridCol w:w="4634"/>
        <w:gridCol w:w="1302"/>
        <w:gridCol w:w="1066"/>
        <w:gridCol w:w="1227"/>
        <w:gridCol w:w="1164"/>
      </w:tblGrid>
      <w:tr w:rsidR="00275E65" w:rsidTr="00275E65">
        <w:trPr>
          <w:cnfStyle w:val="100000000000" w:firstRow="1" w:lastRow="0" w:firstColumn="0" w:lastColumn="0" w:oddVBand="0" w:evenVBand="0" w:oddHBand="0" w:evenHBand="0" w:firstRowFirstColumn="0" w:firstRowLastColumn="0" w:lastRowFirstColumn="0" w:lastRowLastColumn="0"/>
          <w:trHeight w:val="2484"/>
          <w:tblHeader/>
        </w:trPr>
        <w:tc>
          <w:tcPr>
            <w:cnfStyle w:val="001000000000" w:firstRow="0" w:lastRow="0" w:firstColumn="1" w:lastColumn="0" w:oddVBand="0" w:evenVBand="0" w:oddHBand="0" w:evenHBand="0" w:firstRowFirstColumn="0" w:firstRowLastColumn="0" w:lastRowFirstColumn="0" w:lastRowLastColumn="0"/>
            <w:tcW w:w="236" w:type="dxa"/>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Назва та короткий опис проєкту модернізації</w:t>
            </w:r>
          </w:p>
        </w:tc>
        <w:tc>
          <w:tcPr>
            <w:tcW w:w="1302"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Джерело фінансування (власні кошти, місцевий бюджет, інші бюджети)</w:t>
            </w:r>
          </w:p>
        </w:tc>
        <w:tc>
          <w:tcPr>
            <w:tcW w:w="1066"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Роки виконання проєкту</w:t>
            </w:r>
          </w:p>
        </w:tc>
        <w:tc>
          <w:tcPr>
            <w:tcW w:w="1227"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Стадія виконання (завершено, виконується, планується)</w:t>
            </w:r>
          </w:p>
        </w:tc>
        <w:tc>
          <w:tcPr>
            <w:tcW w:w="1164"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Вартість капітальних витрат </w:t>
            </w:r>
            <w:r>
              <w:rPr>
                <w:rFonts w:ascii="Times New Roman" w:hAnsi="Times New Roman" w:cs="Times New Roman"/>
                <w:sz w:val="22"/>
              </w:rPr>
              <w:br/>
              <w:t xml:space="preserve">(без ПДВ), </w:t>
            </w:r>
            <w:r>
              <w:rPr>
                <w:rFonts w:ascii="Times New Roman" w:hAnsi="Times New Roman" w:cs="Times New Roman"/>
                <w:sz w:val="22"/>
              </w:rPr>
              <w:br/>
              <w:t xml:space="preserve">тис. грн </w:t>
            </w:r>
          </w:p>
        </w:tc>
      </w:tr>
      <w:tr w:rsidR="00275E65" w:rsidTr="00275E65">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Будівництво мереж зовнішнього освітлення частини вул.Автоколонна, Матросова від КТП-268 м.Носівка,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2017</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153,061</w:t>
            </w:r>
          </w:p>
        </w:tc>
      </w:tr>
      <w:tr w:rsidR="00275E65" w:rsidTr="00275E65">
        <w:trPr>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Будівництво мереж зовнішнього освітлення частини вул.Козацька від КТП-74 м.Носівка,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2017</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90,015</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Андріївська від КТП-307 в с.Адріївка, Носівського району.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2018</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395,086</w:t>
            </w:r>
          </w:p>
        </w:tc>
      </w:tr>
      <w:tr w:rsidR="00275E65" w:rsidTr="00275E65">
        <w:trPr>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вул.Робоча,Б.Хмельницького,П.Сагайдачного,Короленка від КТП-208 в м.Носівка,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2018</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619,157</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w:t>
            </w:r>
            <w:r>
              <w:rPr>
                <w:rFonts w:ascii="Times New Roman" w:hAnsi="Times New Roman" w:cs="Times New Roman"/>
                <w:sz w:val="22"/>
              </w:rPr>
              <w:t>го освітлення частини вул.Кушнірова, Трудова, Правди від КТП-219 в м.Носівка,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2018</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245,554</w:t>
            </w:r>
          </w:p>
        </w:tc>
      </w:tr>
      <w:tr w:rsidR="00275E65" w:rsidTr="00275E65">
        <w:trPr>
          <w:trHeight w:val="840"/>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Будівництво мереж зовнішнього освітлення частини вул.Ковпака, Зарічна,Яворницького, Шевченка, Героїв Крут, Успенська від КТП-214м.Носівка,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2019</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564,539</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w:t>
            </w:r>
            <w:r>
              <w:rPr>
                <w:rFonts w:ascii="Times New Roman" w:hAnsi="Times New Roman" w:cs="Times New Roman"/>
                <w:sz w:val="22"/>
              </w:rPr>
              <w:t>ня частини вул.Робоча,П.Сагайдачного від КТП-301 в м.Носівка,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2019</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308,887</w:t>
            </w:r>
          </w:p>
        </w:tc>
      </w:tr>
      <w:tr w:rsidR="00275E65" w:rsidTr="00275E65">
        <w:trPr>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вул.Козацька від КТП-281 в м.Носівка,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2019</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181,843</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Заводська,Михайла Заболотного, Автоколонна, Прїзжа,пров.Проїзжий, від КТП-149 в м.Носівка,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2019</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427,396</w:t>
            </w:r>
          </w:p>
        </w:tc>
      </w:tr>
      <w:tr w:rsidR="00275E65" w:rsidTr="00275E65">
        <w:trPr>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вул.Зелена,Південнаи від КТП-219 в м.Носівка,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2020</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447,807</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Ковпака від КТП-52 в с.Коробчине, Носівського району.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2020</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333,399</w:t>
            </w:r>
          </w:p>
        </w:tc>
      </w:tr>
      <w:tr w:rsidR="00275E65" w:rsidTr="00275E65">
        <w:trPr>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Шевченка  від  КТП-54 в с.Володькова Дівиця, Носівського району.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2020</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185,948</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w:t>
            </w:r>
            <w:r>
              <w:rPr>
                <w:rFonts w:ascii="Times New Roman" w:hAnsi="Times New Roman" w:cs="Times New Roman"/>
                <w:sz w:val="22"/>
              </w:rPr>
              <w:t>тлення частини вул. Мирна, Тракторна, Чорноморська від КТП-65 в с.Володькова Дівиця, Носівського району.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2020</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221,935</w:t>
            </w:r>
          </w:p>
        </w:tc>
      </w:tr>
      <w:tr w:rsidR="00275E65" w:rsidTr="00275E65">
        <w:trPr>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Андріївська від КТП-87 в с.Адріївка, Носівського району.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2020</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340,368</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w:t>
            </w:r>
            <w:r>
              <w:rPr>
                <w:rFonts w:ascii="Times New Roman" w:hAnsi="Times New Roman" w:cs="Times New Roman"/>
                <w:sz w:val="22"/>
              </w:rPr>
              <w:t>астини вул. М.Заньковецької- Пролетарська від ЗТП-2 в м.Носівка Носівського району.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12,6</w:t>
            </w:r>
          </w:p>
        </w:tc>
      </w:tr>
      <w:tr w:rsidR="00275E65" w:rsidTr="00275E65">
        <w:trPr>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Реконструкція в рамках відновлення системи вуличного освітлення вул.Тракторна, від КТП-202 в м. Носівка , Носівського </w:t>
            </w:r>
            <w:r>
              <w:rPr>
                <w:rFonts w:ascii="Times New Roman" w:hAnsi="Times New Roman" w:cs="Times New Roman"/>
                <w:sz w:val="22"/>
              </w:rPr>
              <w:t>району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39,16</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Привокзальна від КТП-202 в м.Носівка Носівського району.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21,78</w:t>
            </w:r>
          </w:p>
        </w:tc>
      </w:tr>
      <w:tr w:rsidR="00275E65" w:rsidTr="00275E65">
        <w:trPr>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Заводська  від КТП-268 в м.Носівка,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17,6</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вул. Руденка, вул. Володимирська  від діючих ТП в м 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78,9</w:t>
            </w:r>
          </w:p>
        </w:tc>
      </w:tr>
      <w:tr w:rsidR="00275E65" w:rsidTr="00275E65">
        <w:trPr>
          <w:trHeight w:val="97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Пархоменка, вул. Трудова, вул. Суворова, вул. Троїцька, вул. Мічуріна, вул.Чернишевського , вул. від діючих ТП в м 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30,8</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Садова від КТП-48  в с. Яблунівка, Носівського району.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5,6</w:t>
            </w:r>
          </w:p>
        </w:tc>
      </w:tr>
      <w:tr w:rsidR="00275E65" w:rsidTr="00275E65">
        <w:trPr>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Шевченка від КТП-92  в с. Козари Носівського району.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40</w:t>
            </w:r>
          </w:p>
        </w:tc>
      </w:tr>
      <w:tr w:rsidR="00275E65" w:rsidTr="00275E6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w:t>
            </w:r>
            <w:r>
              <w:rPr>
                <w:rFonts w:ascii="Times New Roman" w:hAnsi="Times New Roman" w:cs="Times New Roman"/>
                <w:sz w:val="22"/>
              </w:rPr>
              <w:t>л.Світанкова від КТП-144 в м 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12,6</w:t>
            </w:r>
          </w:p>
        </w:tc>
      </w:tr>
      <w:tr w:rsidR="00275E65" w:rsidTr="00275E65">
        <w:trPr>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вулТроїцька від КТП-181 в м 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6,5</w:t>
            </w:r>
          </w:p>
        </w:tc>
      </w:tr>
      <w:tr w:rsidR="00275E65" w:rsidTr="00275E6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Гагаріна від КТП-306 в м 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25,4</w:t>
            </w:r>
          </w:p>
        </w:tc>
      </w:tr>
      <w:tr w:rsidR="00275E65" w:rsidTr="00275E65">
        <w:trPr>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Маяковського, від  КТП-56 в с. Володькова Дівиця, Носівського району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6</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w:t>
            </w:r>
            <w:r>
              <w:rPr>
                <w:rFonts w:ascii="Times New Roman" w:hAnsi="Times New Roman" w:cs="Times New Roman"/>
                <w:sz w:val="22"/>
              </w:rPr>
              <w:t>ення частини вул. Вербова  від  КТП-340 в с. Володькова Дівиця, Носівського району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w:t>
            </w:r>
          </w:p>
        </w:tc>
      </w:tr>
      <w:tr w:rsidR="00275E65" w:rsidTr="00275E65">
        <w:trPr>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Успенська від КТП-209 в м 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13</w:t>
            </w:r>
          </w:p>
        </w:tc>
      </w:tr>
      <w:tr w:rsidR="00275E65" w:rsidTr="00275E6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І.Шишка від ЗТП-</w:t>
            </w:r>
            <w:r>
              <w:rPr>
                <w:rFonts w:ascii="Times New Roman" w:hAnsi="Times New Roman" w:cs="Times New Roman"/>
                <w:sz w:val="22"/>
              </w:rPr>
              <w:t>78 в м 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12,6</w:t>
            </w:r>
          </w:p>
        </w:tc>
      </w:tr>
      <w:tr w:rsidR="00275E65" w:rsidTr="00275E65">
        <w:trPr>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Миру від КТП-202 в м 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22</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М.Заньковецькоївід  ЗТП-2 в м 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17,6</w:t>
            </w:r>
          </w:p>
        </w:tc>
      </w:tr>
      <w:tr w:rsidR="00275E65" w:rsidTr="00275E65">
        <w:trPr>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Кутузова ївід  ЗТП-2 в м 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15,1</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Центральна (Козарський Шлях) ївід  ЗТП-300 в м 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19</w:t>
            </w:r>
          </w:p>
        </w:tc>
      </w:tr>
      <w:tr w:rsidR="00275E65" w:rsidTr="00275E65">
        <w:trPr>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Мирна, Тракторна,Чорноморська від  КТП-65в с. Володькова Дівиця, Носівського району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221,935</w:t>
            </w:r>
          </w:p>
        </w:tc>
      </w:tr>
      <w:tr w:rsidR="00275E65" w:rsidTr="00275E65">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w:t>
            </w:r>
            <w:r>
              <w:rPr>
                <w:rFonts w:ascii="Times New Roman" w:hAnsi="Times New Roman" w:cs="Times New Roman"/>
                <w:sz w:val="22"/>
              </w:rPr>
              <w:t>теми вуличного освітлення частини вул. Л.Українки, Поліська, Розумовського, Київська, Українська, М.Гвардії. Прв. М.Гвардії, пров.Л.Українки від КТП-160 в м 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487,981</w:t>
            </w:r>
          </w:p>
        </w:tc>
      </w:tr>
      <w:tr w:rsidR="00275E65" w:rsidTr="00275E65">
        <w:trPr>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Попудренка від КТП-78 в м Носівка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6,8</w:t>
            </w:r>
          </w:p>
        </w:tc>
      </w:tr>
      <w:tr w:rsidR="00275E65" w:rsidTr="00275E6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Освіти, від  КТП-56 в с. Володькова Дівиця, Носівського району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10,1</w:t>
            </w:r>
          </w:p>
        </w:tc>
      </w:tr>
      <w:tr w:rsidR="00275E65" w:rsidTr="00275E65">
        <w:trPr>
          <w:trHeight w:val="732"/>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 частини вул. Буряка, від  КТП-56 в с. Володькова Дівиця, Носівського району Чернігівської області.</w:t>
            </w:r>
          </w:p>
        </w:tc>
        <w:tc>
          <w:tcPr>
            <w:tcW w:w="1302"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6,6</w:t>
            </w:r>
          </w:p>
        </w:tc>
      </w:tr>
      <w:tr w:rsidR="00275E65" w:rsidTr="00275E6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36"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463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Реконструкція в рамках відновлення системи вуличного освітлення</w:t>
            </w:r>
            <w:r>
              <w:rPr>
                <w:rFonts w:ascii="Times New Roman" w:hAnsi="Times New Roman" w:cs="Times New Roman"/>
                <w:sz w:val="22"/>
              </w:rPr>
              <w:t xml:space="preserve"> частини вул.Кутузова від ЗТП-2 в м. Носівка, Чернігівської області.</w:t>
            </w:r>
          </w:p>
        </w:tc>
        <w:tc>
          <w:tcPr>
            <w:tcW w:w="1302"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місцевий</w:t>
            </w:r>
          </w:p>
        </w:tc>
        <w:tc>
          <w:tcPr>
            <w:tcW w:w="106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2021</w:t>
            </w:r>
          </w:p>
        </w:tc>
        <w:tc>
          <w:tcPr>
            <w:tcW w:w="1227"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завершено</w:t>
            </w:r>
          </w:p>
        </w:tc>
        <w:tc>
          <w:tcPr>
            <w:tcW w:w="1164"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15,1</w:t>
            </w:r>
          </w:p>
        </w:tc>
      </w:tr>
    </w:tbl>
    <w:p w:rsidR="00275E65" w:rsidRDefault="00902217">
      <w:pPr>
        <w:pStyle w:val="Arord"/>
        <w:tabs>
          <w:tab w:val="left" w:pos="709"/>
        </w:tabs>
        <w:spacing w:after="0" w:line="276" w:lineRule="auto"/>
        <w:ind w:firstLine="567"/>
        <w:rPr>
          <w:rFonts w:ascii="Times New Roman" w:hAnsi="Times New Roman" w:cs="Times New Roman"/>
          <w:b/>
          <w:sz w:val="22"/>
        </w:rPr>
      </w:pPr>
      <w:bookmarkStart w:id="127" w:name="_Toc147345427"/>
      <w:bookmarkStart w:id="128" w:name="_Toc147140624"/>
      <w:r>
        <w:rPr>
          <w:rFonts w:ascii="Times New Roman" w:eastAsiaTheme="minorEastAsia" w:hAnsi="Times New Roman" w:cstheme="minorHAnsi"/>
          <w:b/>
          <w:sz w:val="22"/>
        </w:rPr>
        <w:t>Громадський транспорт</w:t>
      </w:r>
      <w:bookmarkEnd w:id="127"/>
      <w:bookmarkEnd w:id="128"/>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val="ru-RU"/>
        </w:rPr>
        <w:t>За період з 2017 по 2023 рік не було реалізовано заходів з підвищення енергоефективності у секторі громадський транспорт.</w:t>
      </w:r>
    </w:p>
    <w:p w:rsidR="00275E65" w:rsidRDefault="00902217">
      <w:pPr>
        <w:tabs>
          <w:tab w:val="left" w:pos="709"/>
        </w:tabs>
        <w:spacing w:after="0" w:line="276" w:lineRule="auto"/>
        <w:ind w:firstLine="567"/>
        <w:rPr>
          <w:rFonts w:ascii="Times New Roman" w:hAnsi="Times New Roman" w:cs="Times New Roman"/>
          <w:lang w:val="ru-RU"/>
        </w:rPr>
      </w:pPr>
      <w:r>
        <w:rPr>
          <w:rFonts w:ascii="Times New Roman" w:eastAsiaTheme="minorEastAsia" w:hAnsi="Times New Roman" w:cstheme="minorHAnsi"/>
          <w:lang w:val="ru-RU"/>
        </w:rPr>
        <w:br w:type="page"/>
      </w:r>
    </w:p>
    <w:p w:rsidR="00275E65" w:rsidRDefault="00902217">
      <w:pPr>
        <w:pStyle w:val="ArHead2"/>
        <w:tabs>
          <w:tab w:val="left" w:pos="709"/>
        </w:tabs>
        <w:spacing w:after="0" w:line="276" w:lineRule="auto"/>
        <w:ind w:firstLine="567"/>
        <w:rPr>
          <w:rFonts w:ascii="Times New Roman" w:hAnsi="Times New Roman" w:cs="Times New Roman"/>
          <w:sz w:val="22"/>
        </w:rPr>
      </w:pPr>
      <w:bookmarkStart w:id="129" w:name="_Toc168064809"/>
      <w:r>
        <w:rPr>
          <w:rFonts w:ascii="Times New Roman" w:eastAsiaTheme="minorEastAsia" w:hAnsi="Times New Roman" w:cstheme="minorHAnsi"/>
          <w:sz w:val="22"/>
        </w:rPr>
        <w:t>Бенчмаркінг об’єктів (систем) на території територіальної громади для одного статистично значимого року – 2022 року</w:t>
      </w:r>
      <w:bookmarkStart w:id="130" w:name="_Toc147345429"/>
      <w:r>
        <w:rPr>
          <w:rFonts w:ascii="Times New Roman" w:eastAsiaTheme="minorEastAsia" w:hAnsi="Times New Roman" w:cstheme="minorHAnsi"/>
          <w:sz w:val="22"/>
        </w:rPr>
        <w:t xml:space="preserve"> Методичні засади</w:t>
      </w:r>
      <w:bookmarkEnd w:id="129"/>
      <w:bookmarkEnd w:id="130"/>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Бенчмаркінг - інструмент енергетичного аналізу, який використовується для співставлення енергетичних показників між подібни</w:t>
      </w:r>
      <w:r>
        <w:rPr>
          <w:rFonts w:ascii="Times New Roman" w:eastAsiaTheme="minorEastAsia" w:hAnsi="Times New Roman" w:cstheme="minorHAnsi"/>
          <w:sz w:val="22"/>
        </w:rPr>
        <w:t>ми об’єктами (системами) з урахуванням вагомих чинників впливу, з метою порівняльної оцінки ефективності споживання енергії та визначення зразкових підходів до підвищення енергетичної ефективності та розвитку відновлюваних джерел енергії</w:t>
      </w:r>
      <w:r>
        <w:rPr>
          <w:rStyle w:val="af6"/>
          <w:rFonts w:ascii="Times New Roman" w:eastAsiaTheme="minorEastAsia" w:hAnsi="Times New Roman" w:cstheme="minorHAnsi"/>
          <w:sz w:val="22"/>
        </w:rPr>
        <w:footnoteReference w:id="2"/>
      </w:r>
      <w:r>
        <w:rPr>
          <w:rFonts w:ascii="Times New Roman" w:eastAsiaTheme="minorEastAsia" w:hAnsi="Times New Roman" w:cstheme="minorHAnsi"/>
          <w:sz w:val="22"/>
        </w:rPr>
        <w:t>.</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В цьому розділі </w:t>
      </w:r>
      <w:r>
        <w:rPr>
          <w:rFonts w:ascii="Times New Roman" w:eastAsiaTheme="minorEastAsia" w:hAnsi="Times New Roman" w:cstheme="minorHAnsi"/>
          <w:sz w:val="22"/>
        </w:rPr>
        <w:t>звіту використовується інструмент бенчмаркінгу для житлових та громадських будівель.</w:t>
      </w:r>
    </w:p>
    <w:p w:rsidR="00275E65" w:rsidRDefault="00902217">
      <w:pPr>
        <w:pStyle w:val="ArHead3"/>
        <w:tabs>
          <w:tab w:val="left" w:pos="709"/>
        </w:tabs>
        <w:spacing w:after="0" w:line="276" w:lineRule="auto"/>
        <w:ind w:firstLine="567"/>
        <w:rPr>
          <w:rFonts w:ascii="Times New Roman" w:hAnsi="Times New Roman" w:cs="Times New Roman"/>
          <w:sz w:val="22"/>
        </w:rPr>
      </w:pPr>
      <w:bookmarkStart w:id="131" w:name="_Toc147345430"/>
      <w:bookmarkStart w:id="132" w:name="_Toc168064810"/>
      <w:r>
        <w:rPr>
          <w:rFonts w:ascii="Times New Roman" w:eastAsiaTheme="minorEastAsia" w:hAnsi="Times New Roman" w:cstheme="minorHAnsi"/>
          <w:sz w:val="22"/>
        </w:rPr>
        <w:t>Житлові будівлі</w:t>
      </w:r>
      <w:bookmarkEnd w:id="131"/>
      <w:bookmarkEnd w:id="132"/>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133" w:name="_Toc147345431"/>
      <w:r>
        <w:rPr>
          <w:rFonts w:ascii="Times New Roman" w:eastAsiaTheme="minorEastAsia" w:hAnsi="Times New Roman" w:cstheme="minorHAnsi"/>
          <w:b/>
          <w:bCs/>
          <w:sz w:val="22"/>
        </w:rPr>
        <w:t>Аналіз даних</w:t>
      </w:r>
      <w:bookmarkEnd w:id="133"/>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збору свод 2.xlsx вкладка «Житлові будівлі».</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Отримані результати наведені в таблиці нижче</w:t>
      </w:r>
    </w:p>
    <w:p w:rsidR="00275E65" w:rsidRDefault="00902217">
      <w:pPr>
        <w:pStyle w:val="Artblname"/>
        <w:tabs>
          <w:tab w:val="left" w:pos="709"/>
        </w:tabs>
        <w:spacing w:line="276" w:lineRule="auto"/>
        <w:ind w:firstLine="567"/>
        <w:rPr>
          <w:rFonts w:ascii="Times New Roman" w:hAnsi="Times New Roman" w:cs="Times New Roman"/>
          <w:sz w:val="22"/>
        </w:rPr>
      </w:pPr>
      <w:bookmarkStart w:id="134" w:name="_Toc147345437"/>
      <w:bookmarkStart w:id="135" w:name="_Toc168064839"/>
      <w:r>
        <w:rPr>
          <w:rFonts w:ascii="Times New Roman" w:eastAsiaTheme="minorEastAsia" w:hAnsi="Times New Roman" w:cstheme="minorHAnsi"/>
          <w:sz w:val="22"/>
        </w:rPr>
        <w:t>Структура житлових будівель (за загальною площею), всього, у тому числі:</w:t>
      </w:r>
      <w:bookmarkEnd w:id="134"/>
      <w:bookmarkEnd w:id="135"/>
    </w:p>
    <w:tbl>
      <w:tblPr>
        <w:tblStyle w:val="GridTable5DarkAccent3"/>
        <w:tblW w:w="9570" w:type="dxa"/>
        <w:shd w:val="clear" w:color="auto" w:fill="EDEDED"/>
        <w:tblLayout w:type="fixed"/>
        <w:tblLook w:val="04A0" w:firstRow="1" w:lastRow="0" w:firstColumn="1" w:lastColumn="0" w:noHBand="0" w:noVBand="1"/>
      </w:tblPr>
      <w:tblGrid>
        <w:gridCol w:w="531"/>
        <w:gridCol w:w="6292"/>
        <w:gridCol w:w="1571"/>
        <w:gridCol w:w="1176"/>
      </w:tblGrid>
      <w:tr w:rsidR="00275E65" w:rsidTr="00275E65">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531" w:type="dxa"/>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w:t>
            </w:r>
          </w:p>
        </w:tc>
        <w:tc>
          <w:tcPr>
            <w:tcW w:w="629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Ключові енергетичні показники</w:t>
            </w:r>
          </w:p>
        </w:tc>
        <w:tc>
          <w:tcPr>
            <w:tcW w:w="157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Одиниця </w:t>
            </w:r>
            <w:r>
              <w:rPr>
                <w:rFonts w:ascii="Times New Roman" w:hAnsi="Times New Roman" w:cs="Times New Roman"/>
                <w:sz w:val="22"/>
              </w:rPr>
              <w:br/>
              <w:t>вимірювання</w:t>
            </w:r>
          </w:p>
        </w:tc>
        <w:tc>
          <w:tcPr>
            <w:tcW w:w="1176"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Значення</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3.1</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Частка домогосподарств у багатоквартирних будинках</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100,00%</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3.2</w:t>
            </w: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Структура житлових будівель (за загальною площею), всього, у тому числі:</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одноквартирні</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94,86*</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двоквартирні</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багатоквартирні</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5,14%</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для колективного проживання</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bl>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У відповідності із методом визначення розрахункового енергоспоживання при опаленні та охолодженні необхідно провезти енергетичні розрахунки за ДСТУ 9190:2022 Енергетична ефективність будівель. Метод розрахунку енергоспоживання під час опалення, охолодження</w:t>
      </w:r>
      <w:r>
        <w:rPr>
          <w:rFonts w:ascii="Times New Roman" w:eastAsiaTheme="minorEastAsia" w:hAnsi="Times New Roman" w:cstheme="minorHAnsi"/>
          <w:sz w:val="22"/>
        </w:rPr>
        <w:t xml:space="preserve">, вентиляції, освітлення та гарячого водопостачання.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i/>
          <w:iCs/>
          <w:sz w:val="22"/>
        </w:rPr>
        <w:t xml:space="preserve">Припущення. </w:t>
      </w:r>
      <w:r>
        <w:rPr>
          <w:rFonts w:ascii="Times New Roman" w:eastAsiaTheme="minorEastAsia" w:hAnsi="Times New Roman" w:cstheme="minorHAnsi"/>
          <w:i/>
          <w:iCs/>
          <w:sz w:val="22"/>
        </w:rPr>
        <w:tab/>
      </w:r>
      <w:r>
        <w:rPr>
          <w:rFonts w:ascii="Times New Roman" w:eastAsiaTheme="minorEastAsia" w:hAnsi="Times New Roman" w:cstheme="minorHAnsi"/>
          <w:i/>
          <w:iCs/>
          <w:sz w:val="22"/>
        </w:rPr>
        <w:tab/>
      </w:r>
      <w:r>
        <w:rPr>
          <w:rFonts w:ascii="Times New Roman" w:eastAsiaTheme="minorEastAsia" w:hAnsi="Times New Roman" w:cstheme="minorHAnsi"/>
          <w:sz w:val="22"/>
        </w:rPr>
        <w:t>Для проведення розрахунків приймаємо питоме розрахункове енергоспоживання при опаленні та охолодженні житлових будівель на рівні, середньостатистичних значень раніше розроблених та зареєст</w:t>
      </w:r>
      <w:r>
        <w:rPr>
          <w:rFonts w:ascii="Times New Roman" w:eastAsiaTheme="minorEastAsia" w:hAnsi="Times New Roman" w:cstheme="minorHAnsi"/>
          <w:sz w:val="22"/>
        </w:rPr>
        <w:t>рованих сертифікатів енергетичної ефективності будівель з класом енергетичної ефективності «</w:t>
      </w:r>
      <w:r>
        <w:rPr>
          <w:rFonts w:ascii="Times New Roman" w:eastAsiaTheme="minorEastAsia" w:hAnsi="Times New Roman" w:cstheme="minorHAnsi"/>
          <w:sz w:val="22"/>
          <w:lang w:val="en-US"/>
        </w:rPr>
        <w:t>G</w:t>
      </w:r>
      <w:r>
        <w:rPr>
          <w:rFonts w:ascii="Times New Roman" w:eastAsiaTheme="minorEastAsia" w:hAnsi="Times New Roman" w:cstheme="minorHAnsi"/>
          <w:sz w:val="22"/>
        </w:rPr>
        <w:t>» та подібних за видами будівель, а саме: для одноквартирних будинків на рівні 360 кВт*год/м</w:t>
      </w:r>
      <w:r>
        <w:rPr>
          <w:rFonts w:ascii="Times New Roman" w:eastAsiaTheme="minorEastAsia" w:hAnsi="Times New Roman" w:cstheme="minorHAnsi"/>
          <w:sz w:val="22"/>
          <w:vertAlign w:val="superscript"/>
        </w:rPr>
        <w:t>2</w:t>
      </w:r>
      <w:r>
        <w:rPr>
          <w:rFonts w:ascii="Times New Roman" w:eastAsiaTheme="minorEastAsia" w:hAnsi="Times New Roman" w:cstheme="minorHAnsi"/>
          <w:sz w:val="22"/>
        </w:rPr>
        <w:t>, для багатоквартирних будинків на рівні 255 кВт*год/м</w:t>
      </w:r>
      <w:r>
        <w:rPr>
          <w:rFonts w:ascii="Times New Roman" w:eastAsiaTheme="minorEastAsia" w:hAnsi="Times New Roman" w:cstheme="minorHAnsi"/>
          <w:sz w:val="22"/>
          <w:vertAlign w:val="superscript"/>
        </w:rPr>
        <w:t>2</w:t>
      </w:r>
      <w:r>
        <w:rPr>
          <w:rFonts w:ascii="Times New Roman" w:eastAsiaTheme="minorEastAsia" w:hAnsi="Times New Roman" w:cstheme="minorHAnsi"/>
          <w:sz w:val="22"/>
        </w:rPr>
        <w:t>.</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Отримані результати наведені в таблиці нижче.</w:t>
      </w:r>
    </w:p>
    <w:p w:rsidR="00275E65" w:rsidRDefault="00902217">
      <w:pPr>
        <w:pStyle w:val="Artblname"/>
        <w:tabs>
          <w:tab w:val="left" w:pos="709"/>
        </w:tabs>
        <w:spacing w:line="276" w:lineRule="auto"/>
        <w:ind w:firstLine="567"/>
        <w:rPr>
          <w:rFonts w:ascii="Times New Roman" w:hAnsi="Times New Roman" w:cs="Times New Roman"/>
          <w:sz w:val="22"/>
        </w:rPr>
      </w:pPr>
      <w:bookmarkStart w:id="136" w:name="_Toc147345438"/>
      <w:bookmarkStart w:id="137" w:name="_Toc168064840"/>
      <w:r>
        <w:rPr>
          <w:rFonts w:ascii="Times New Roman" w:eastAsiaTheme="minorEastAsia" w:hAnsi="Times New Roman" w:cstheme="minorHAnsi"/>
          <w:sz w:val="22"/>
        </w:rPr>
        <w:t>Питоме розрахункове енергоспоживання при опаленні та охолодженні житлових будівель.</w:t>
      </w:r>
      <w:bookmarkEnd w:id="136"/>
      <w:bookmarkEnd w:id="137"/>
    </w:p>
    <w:tbl>
      <w:tblPr>
        <w:tblStyle w:val="GridTable5DarkAccent3"/>
        <w:tblW w:w="9570" w:type="dxa"/>
        <w:shd w:val="clear" w:color="auto" w:fill="EDEDED"/>
        <w:tblLayout w:type="fixed"/>
        <w:tblLook w:val="04A0" w:firstRow="1" w:lastRow="0" w:firstColumn="1" w:lastColumn="0" w:noHBand="0" w:noVBand="1"/>
      </w:tblPr>
      <w:tblGrid>
        <w:gridCol w:w="531"/>
        <w:gridCol w:w="6292"/>
        <w:gridCol w:w="1571"/>
        <w:gridCol w:w="1176"/>
      </w:tblGrid>
      <w:tr w:rsidR="00275E65" w:rsidTr="00275E65">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531" w:type="dxa"/>
          </w:tcPr>
          <w:p w:rsidR="00275E65" w:rsidRDefault="00902217">
            <w:pPr>
              <w:pStyle w:val="Artblin"/>
              <w:tabs>
                <w:tab w:val="left" w:pos="709"/>
              </w:tabs>
              <w:spacing w:line="276" w:lineRule="auto"/>
              <w:ind w:left="-582" w:firstLine="556"/>
              <w:rPr>
                <w:rFonts w:ascii="Times New Roman" w:hAnsi="Times New Roman" w:cs="Times New Roman"/>
                <w:sz w:val="22"/>
              </w:rPr>
            </w:pPr>
            <w:r>
              <w:rPr>
                <w:rFonts w:ascii="Times New Roman" w:hAnsi="Times New Roman" w:cs="Times New Roman"/>
                <w:sz w:val="22"/>
              </w:rPr>
              <w:t>№</w:t>
            </w:r>
          </w:p>
        </w:tc>
        <w:tc>
          <w:tcPr>
            <w:tcW w:w="6291" w:type="dxa"/>
            <w:tcBorders>
              <w:bottom w:val="none" w:sz="4" w:space="0" w:color="000000"/>
            </w:tcBorders>
          </w:tcPr>
          <w:p w:rsidR="00275E65" w:rsidRDefault="00902217">
            <w:pPr>
              <w:pStyle w:val="Artblin"/>
              <w:tabs>
                <w:tab w:val="left" w:pos="709"/>
              </w:tabs>
              <w:spacing w:line="276" w:lineRule="auto"/>
              <w:ind w:left="6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Ключові енергетичні показники</w:t>
            </w:r>
          </w:p>
        </w:tc>
        <w:tc>
          <w:tcPr>
            <w:tcW w:w="1571" w:type="dxa"/>
            <w:tcBorders>
              <w:bottom w:val="none" w:sz="4" w:space="0" w:color="000000"/>
            </w:tcBorders>
          </w:tcPr>
          <w:p w:rsidR="00275E65" w:rsidRDefault="00902217">
            <w:pPr>
              <w:pStyle w:val="Artblin"/>
              <w:tabs>
                <w:tab w:val="left" w:pos="709"/>
              </w:tabs>
              <w:spacing w:line="276" w:lineRule="auto"/>
              <w:ind w:left="6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Одиниця </w:t>
            </w:r>
            <w:r>
              <w:rPr>
                <w:rFonts w:ascii="Times New Roman" w:hAnsi="Times New Roman" w:cs="Times New Roman"/>
                <w:sz w:val="22"/>
              </w:rPr>
              <w:br/>
              <w:t>вимірювання</w:t>
            </w:r>
          </w:p>
        </w:tc>
        <w:tc>
          <w:tcPr>
            <w:tcW w:w="1176" w:type="dxa"/>
            <w:tcBorders>
              <w:bottom w:val="none" w:sz="4" w:space="0" w:color="000000"/>
            </w:tcBorders>
          </w:tcPr>
          <w:p w:rsidR="00275E65" w:rsidRDefault="00902217">
            <w:pPr>
              <w:pStyle w:val="Artblin"/>
              <w:tabs>
                <w:tab w:val="left" w:pos="709"/>
              </w:tabs>
              <w:spacing w:line="276" w:lineRule="auto"/>
              <w:ind w:left="6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Значення</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82" w:firstLine="556"/>
              <w:rPr>
                <w:rFonts w:ascii="Times New Roman" w:hAnsi="Times New Roman" w:cs="Times New Roman"/>
                <w:sz w:val="22"/>
              </w:rPr>
            </w:pPr>
            <w:r>
              <w:rPr>
                <w:rFonts w:ascii="Times New Roman" w:hAnsi="Times New Roman" w:cs="Times New Roman"/>
                <w:sz w:val="22"/>
              </w:rPr>
              <w:t>3.1</w:t>
            </w:r>
          </w:p>
        </w:tc>
        <w:tc>
          <w:tcPr>
            <w:tcW w:w="6291" w:type="dxa"/>
          </w:tcPr>
          <w:p w:rsidR="00275E65" w:rsidRDefault="00902217">
            <w:pPr>
              <w:pStyle w:val="Artblin"/>
              <w:tabs>
                <w:tab w:val="left" w:pos="709"/>
              </w:tabs>
              <w:spacing w:line="276" w:lineRule="auto"/>
              <w:ind w:left="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Частка домогосподарств у багатоквартирних будинках</w:t>
            </w:r>
          </w:p>
        </w:tc>
        <w:tc>
          <w:tcPr>
            <w:tcW w:w="1571" w:type="dxa"/>
          </w:tcPr>
          <w:p w:rsidR="00275E65" w:rsidRDefault="00902217">
            <w:pPr>
              <w:pStyle w:val="Artblin"/>
              <w:tabs>
                <w:tab w:val="left" w:pos="709"/>
              </w:tabs>
              <w:spacing w:line="276" w:lineRule="auto"/>
              <w:ind w:left="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ind w:left="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100,00%</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82" w:firstLine="556"/>
              <w:rPr>
                <w:rFonts w:ascii="Times New Roman" w:hAnsi="Times New Roman" w:cs="Times New Roman"/>
                <w:sz w:val="22"/>
              </w:rPr>
            </w:pPr>
            <w:r>
              <w:rPr>
                <w:rFonts w:ascii="Times New Roman" w:hAnsi="Times New Roman" w:cs="Times New Roman"/>
                <w:sz w:val="22"/>
              </w:rPr>
              <w:t>3.3</w:t>
            </w:r>
          </w:p>
        </w:tc>
        <w:tc>
          <w:tcPr>
            <w:tcW w:w="6291" w:type="dxa"/>
          </w:tcPr>
          <w:p w:rsidR="00275E65" w:rsidRDefault="00902217">
            <w:pPr>
              <w:pStyle w:val="Artblin"/>
              <w:tabs>
                <w:tab w:val="left" w:pos="709"/>
              </w:tabs>
              <w:spacing w:line="276" w:lineRule="auto"/>
              <w:ind w:left="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Питоме розрахункове енергоспоживання при опаленні та охолодженні житлових будівель, всього, у тому числі:</w:t>
            </w:r>
          </w:p>
        </w:tc>
        <w:tc>
          <w:tcPr>
            <w:tcW w:w="1571" w:type="dxa"/>
          </w:tcPr>
          <w:p w:rsidR="00275E65" w:rsidRDefault="00902217">
            <w:pPr>
              <w:pStyle w:val="Artblin"/>
              <w:tabs>
                <w:tab w:val="left" w:pos="709"/>
              </w:tabs>
              <w:spacing w:line="276" w:lineRule="auto"/>
              <w:ind w:left="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ind w:left="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82" w:firstLine="556"/>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ind w:left="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одноквартирні</w:t>
            </w:r>
          </w:p>
        </w:tc>
        <w:tc>
          <w:tcPr>
            <w:tcW w:w="1571" w:type="dxa"/>
          </w:tcPr>
          <w:p w:rsidR="00275E65" w:rsidRDefault="00902217">
            <w:pPr>
              <w:pStyle w:val="Artblin"/>
              <w:tabs>
                <w:tab w:val="left" w:pos="709"/>
              </w:tabs>
              <w:spacing w:line="276" w:lineRule="auto"/>
              <w:ind w:left="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ind w:left="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360</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ind w:left="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двоквартирні</w:t>
            </w:r>
          </w:p>
        </w:tc>
        <w:tc>
          <w:tcPr>
            <w:tcW w:w="1571" w:type="dxa"/>
          </w:tcPr>
          <w:p w:rsidR="00275E65" w:rsidRDefault="00902217">
            <w:pPr>
              <w:pStyle w:val="Artblin"/>
              <w:tabs>
                <w:tab w:val="left" w:pos="709"/>
              </w:tabs>
              <w:spacing w:line="276" w:lineRule="auto"/>
              <w:ind w:left="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ind w:left="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ind w:left="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багатоквартирні</w:t>
            </w:r>
          </w:p>
        </w:tc>
        <w:tc>
          <w:tcPr>
            <w:tcW w:w="1571" w:type="dxa"/>
          </w:tcPr>
          <w:p w:rsidR="00275E65" w:rsidRDefault="00902217">
            <w:pPr>
              <w:pStyle w:val="Artblin"/>
              <w:tabs>
                <w:tab w:val="left" w:pos="709"/>
              </w:tabs>
              <w:spacing w:line="276" w:lineRule="auto"/>
              <w:ind w:left="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ind w:left="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255</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для колективного проживання</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bl>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Фактичне енергоспоживання розраховано на основі отриманих даних: вкладка «Житлові будівлі», таблиця 2 «Характеристики житлових будівель», колонка «Індивідуальне (поквартирне) теплозабезпечення»</w:t>
      </w:r>
      <w:r>
        <w:rPr>
          <w:rFonts w:ascii="Times New Roman" w:eastAsiaTheme="minorEastAsia" w:hAnsi="Times New Roman" w:cstheme="minorHAnsi"/>
          <w:sz w:val="22"/>
        </w:rPr>
        <w:t>, де зазначено що всі багатоквартирні житлові будинки отримають теплову енергію з індивідуальних котлів та таблиці 4 «Характеристики житлових будівель, приєднаних до мереж газопостачання», колонка «Загальне річне споживання газу в будинку» із застосуванням</w:t>
      </w:r>
      <w:r>
        <w:rPr>
          <w:rFonts w:ascii="Times New Roman" w:eastAsiaTheme="minorEastAsia" w:hAnsi="Times New Roman" w:cstheme="minorHAnsi"/>
          <w:sz w:val="22"/>
        </w:rPr>
        <w:t xml:space="preserve"> коефіцієнту переводу зазначеного в Додатку 3 до Порядку розроблення та оновлення місцевих енергетичних планів. А саме: 1 тис.м3 природного газу 9,390 МВт*год теплової енергії. Дані щодо теплоспоживання одноквартирних будинків у вихідних таблицях відсутні.</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i/>
          <w:iCs/>
          <w:sz w:val="22"/>
        </w:rPr>
        <w:t>Припущення.</w:t>
      </w:r>
      <w:r>
        <w:rPr>
          <w:rFonts w:ascii="Times New Roman" w:eastAsiaTheme="minorEastAsia" w:hAnsi="Times New Roman" w:cstheme="minorHAnsi"/>
          <w:sz w:val="22"/>
        </w:rPr>
        <w:t xml:space="preserve"> </w:t>
      </w:r>
      <w:r>
        <w:rPr>
          <w:rFonts w:ascii="Times New Roman" w:eastAsiaTheme="minorEastAsia" w:hAnsi="Times New Roman" w:cstheme="minorHAnsi"/>
          <w:sz w:val="22"/>
        </w:rPr>
        <w:tab/>
        <w:t>Для розрахунку показника фактичного енергоспоживання одноквартирних будинків застосовано поправочний коефіцієнт компактності одноквартирних будинків в порівнянні із багатоквартирними і в середньому визначений як 1,4. Див. Наказ Мінрегіону №16</w:t>
      </w:r>
      <w:r>
        <w:rPr>
          <w:rFonts w:ascii="Times New Roman" w:eastAsiaTheme="minorEastAsia" w:hAnsi="Times New Roman" w:cstheme="minorHAnsi"/>
          <w:sz w:val="22"/>
        </w:rPr>
        <w:t>9 від 11.07.2018 «</w:t>
      </w:r>
      <w:r>
        <w:rPr>
          <w:rStyle w:val="rvts23"/>
          <w:rFonts w:ascii="Times New Roman" w:eastAsiaTheme="minorEastAsia" w:hAnsi="Times New Roman" w:cstheme="minorHAnsi"/>
          <w:sz w:val="22"/>
        </w:rPr>
        <w:t>Про затвердження Методики визначення енергетичної ефективності будівель</w:t>
      </w:r>
      <w:r>
        <w:rPr>
          <w:rFonts w:ascii="Times New Roman" w:eastAsiaTheme="minorEastAsia" w:hAnsi="Times New Roman" w:cstheme="minorHAnsi"/>
          <w:sz w:val="22"/>
        </w:rPr>
        <w:t>», а саме 120/85=1,4.</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Отримані результати наведені в таблиці нижче.</w:t>
      </w:r>
    </w:p>
    <w:p w:rsidR="00275E65" w:rsidRDefault="00902217">
      <w:pPr>
        <w:pStyle w:val="Artblname"/>
        <w:tabs>
          <w:tab w:val="left" w:pos="709"/>
        </w:tabs>
        <w:spacing w:line="276" w:lineRule="auto"/>
        <w:ind w:firstLine="567"/>
        <w:rPr>
          <w:rFonts w:ascii="Times New Roman" w:hAnsi="Times New Roman" w:cs="Times New Roman"/>
          <w:sz w:val="22"/>
        </w:rPr>
      </w:pPr>
      <w:bookmarkStart w:id="138" w:name="_Toc147345439"/>
      <w:bookmarkStart w:id="139" w:name="_Toc168064841"/>
      <w:r>
        <w:rPr>
          <w:rFonts w:ascii="Times New Roman" w:eastAsiaTheme="minorEastAsia" w:hAnsi="Times New Roman" w:cstheme="minorHAnsi"/>
          <w:sz w:val="22"/>
        </w:rPr>
        <w:t>Питоме фактичне енергоспоживання на опалення житлових будівель.</w:t>
      </w:r>
      <w:bookmarkEnd w:id="138"/>
      <w:bookmarkEnd w:id="139"/>
    </w:p>
    <w:tbl>
      <w:tblPr>
        <w:tblStyle w:val="GridTable5DarkAccent3"/>
        <w:tblW w:w="9570" w:type="dxa"/>
        <w:shd w:val="clear" w:color="auto" w:fill="EDEDED"/>
        <w:tblLayout w:type="fixed"/>
        <w:tblLook w:val="04A0" w:firstRow="1" w:lastRow="0" w:firstColumn="1" w:lastColumn="0" w:noHBand="0" w:noVBand="1"/>
      </w:tblPr>
      <w:tblGrid>
        <w:gridCol w:w="531"/>
        <w:gridCol w:w="6292"/>
        <w:gridCol w:w="1571"/>
        <w:gridCol w:w="1176"/>
      </w:tblGrid>
      <w:tr w:rsidR="00275E65" w:rsidTr="00275E65">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531" w:type="dxa"/>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w:t>
            </w:r>
          </w:p>
        </w:tc>
        <w:tc>
          <w:tcPr>
            <w:tcW w:w="629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Ключові енергетичні показники</w:t>
            </w:r>
          </w:p>
        </w:tc>
        <w:tc>
          <w:tcPr>
            <w:tcW w:w="157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Одиниця </w:t>
            </w:r>
            <w:r>
              <w:rPr>
                <w:rFonts w:ascii="Times New Roman" w:hAnsi="Times New Roman" w:cs="Times New Roman"/>
                <w:sz w:val="22"/>
              </w:rPr>
              <w:br/>
              <w:t>вимірювання</w:t>
            </w:r>
          </w:p>
        </w:tc>
        <w:tc>
          <w:tcPr>
            <w:tcW w:w="1176"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Значення</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3.1</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Частка домогосподарств у багатоквартирних будинках</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100,00%</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3.4</w:t>
            </w: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Питоме фактичне енергоспоживання на опалення житлових будівель, всього, у тому числі:</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одноквартирні</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271,2</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двоквартирні</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багатоквартирні</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193,7</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для колективного проживання</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bl>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Фактичне споживання електроенергії розраховано на ос</w:t>
      </w:r>
      <w:r>
        <w:rPr>
          <w:rFonts w:ascii="Times New Roman" w:eastAsiaTheme="minorEastAsia" w:hAnsi="Times New Roman" w:cstheme="minorHAnsi"/>
          <w:sz w:val="22"/>
        </w:rPr>
        <w:t>нові отриманих даних: вкладка «Житлові будівлі», таблиця 5 «Характеристики житлових будівель, приєднаних до електричних мереж», колонка «Загальне річне споживання електричної енергії в будівлі». Дані по електроспоживанню в одноквартирних будинках відсутні.</w:t>
      </w:r>
    </w:p>
    <w:p w:rsidR="00275E65" w:rsidRDefault="00902217">
      <w:pPr>
        <w:pStyle w:val="Artblname"/>
        <w:tabs>
          <w:tab w:val="left" w:pos="709"/>
        </w:tabs>
        <w:spacing w:line="276" w:lineRule="auto"/>
        <w:ind w:firstLine="567"/>
        <w:rPr>
          <w:rFonts w:ascii="Times New Roman" w:hAnsi="Times New Roman" w:cs="Times New Roman"/>
          <w:sz w:val="22"/>
        </w:rPr>
      </w:pPr>
      <w:bookmarkStart w:id="140" w:name="_Toc147345440"/>
      <w:bookmarkStart w:id="141" w:name="_Toc168064842"/>
      <w:r>
        <w:rPr>
          <w:rFonts w:ascii="Times New Roman" w:eastAsiaTheme="minorEastAsia" w:hAnsi="Times New Roman" w:cstheme="minorHAnsi"/>
          <w:sz w:val="22"/>
        </w:rPr>
        <w:t>Питоме фактичне споживання електроенергії житлових будівель.</w:t>
      </w:r>
      <w:bookmarkEnd w:id="140"/>
      <w:bookmarkEnd w:id="141"/>
    </w:p>
    <w:tbl>
      <w:tblPr>
        <w:tblStyle w:val="GridTable5DarkAccent3"/>
        <w:tblW w:w="9570" w:type="dxa"/>
        <w:shd w:val="clear" w:color="auto" w:fill="EDEDED"/>
        <w:tblLayout w:type="fixed"/>
        <w:tblLook w:val="04A0" w:firstRow="1" w:lastRow="0" w:firstColumn="1" w:lastColumn="0" w:noHBand="0" w:noVBand="1"/>
      </w:tblPr>
      <w:tblGrid>
        <w:gridCol w:w="531"/>
        <w:gridCol w:w="6292"/>
        <w:gridCol w:w="1571"/>
        <w:gridCol w:w="1176"/>
      </w:tblGrid>
      <w:tr w:rsidR="00275E65" w:rsidTr="00275E65">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w:t>
            </w:r>
          </w:p>
        </w:tc>
        <w:tc>
          <w:tcPr>
            <w:tcW w:w="629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Ключові енергетичні показники</w:t>
            </w:r>
          </w:p>
        </w:tc>
        <w:tc>
          <w:tcPr>
            <w:tcW w:w="157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Одиниця </w:t>
            </w:r>
            <w:r>
              <w:rPr>
                <w:rFonts w:ascii="Times New Roman" w:hAnsi="Times New Roman" w:cs="Times New Roman"/>
                <w:sz w:val="22"/>
              </w:rPr>
              <w:br/>
              <w:t>вимірювання</w:t>
            </w:r>
          </w:p>
        </w:tc>
        <w:tc>
          <w:tcPr>
            <w:tcW w:w="1176"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Значення</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49" w:firstLine="567"/>
              <w:rPr>
                <w:rFonts w:ascii="Times New Roman" w:hAnsi="Times New Roman" w:cs="Times New Roman"/>
                <w:sz w:val="22"/>
              </w:rPr>
            </w:pPr>
            <w:r>
              <w:rPr>
                <w:rFonts w:ascii="Times New Roman" w:hAnsi="Times New Roman" w:cs="Times New Roman"/>
                <w:sz w:val="22"/>
              </w:rPr>
              <w:t>3.1</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Частка домогосподарств у багатоквартирних будинках</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100,00%</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49" w:firstLine="567"/>
              <w:rPr>
                <w:rFonts w:ascii="Times New Roman" w:hAnsi="Times New Roman" w:cs="Times New Roman"/>
                <w:sz w:val="22"/>
              </w:rPr>
            </w:pPr>
            <w:r>
              <w:rPr>
                <w:rFonts w:ascii="Times New Roman" w:hAnsi="Times New Roman" w:cs="Times New Roman"/>
                <w:sz w:val="22"/>
              </w:rPr>
              <w:t>3.5</w:t>
            </w: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Питоме споживання електроенергії в житлових будівлях, всього, у тому числі:</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49"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одноквартирні</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36,7*</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двоквартирні</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багатоквартирні</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36,7</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 будівлі для колективного проживання</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bl>
    <w:p w:rsidR="00275E65" w:rsidRDefault="00902217">
      <w:pPr>
        <w:pStyle w:val="Arheadersfooters"/>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*дані по питомому електроспоживанню в одноквартирних будинках відсутні, натомість велика вірогідність, що споживання електроенергії будуть вищими за значення для багатоквартирні будинки, оскільки присутнє прибудинкове господарство. Тут показн</w:t>
      </w:r>
      <w:r>
        <w:rPr>
          <w:rFonts w:ascii="Times New Roman" w:eastAsiaTheme="minorEastAsia" w:hAnsi="Times New Roman" w:cstheme="minorHAnsi"/>
          <w:sz w:val="22"/>
        </w:rPr>
        <w:t>ик визначений тотожнім до багатоквартирних будівель, але дані потребують уточнення.</w:t>
      </w:r>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142" w:name="_Toc147345432"/>
      <w:r>
        <w:rPr>
          <w:rFonts w:ascii="Times New Roman" w:eastAsiaTheme="minorEastAsia" w:hAnsi="Times New Roman" w:cstheme="minorHAnsi"/>
          <w:b/>
          <w:bCs/>
          <w:sz w:val="22"/>
        </w:rPr>
        <w:t>Результати бенчмаркінг на основі отриманих даних без уточнень.</w:t>
      </w:r>
      <w:bookmarkEnd w:id="142"/>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00" cy="2880000"/>
            <wp:effectExtent l="0" t="0" r="10795" b="15875"/>
            <wp:docPr id="46" name="Діагра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43" w:name="_Toc147345482"/>
      <w:bookmarkStart w:id="144" w:name="_Toc168064884"/>
      <w:r>
        <w:rPr>
          <w:rFonts w:ascii="Times New Roman" w:eastAsiaTheme="minorEastAsia" w:hAnsi="Times New Roman" w:cstheme="minorHAnsi"/>
          <w:sz w:val="22"/>
        </w:rPr>
        <w:t>Питоме фактичне енергоспоживання на опалення житлових будівель.</w:t>
      </w:r>
      <w:bookmarkEnd w:id="143"/>
      <w:bookmarkEnd w:id="144"/>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До уточнення:</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Обсяги споживання енергоресурсів для теплозабезпечення одноквартирних будинків.</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Дані споживання електроенергії для одноквартирних будинків.</w:t>
      </w:r>
    </w:p>
    <w:p w:rsidR="00275E65" w:rsidRDefault="00902217">
      <w:pPr>
        <w:pStyle w:val="ArHead3"/>
        <w:tabs>
          <w:tab w:val="left" w:pos="709"/>
        </w:tabs>
        <w:spacing w:after="0" w:line="276" w:lineRule="auto"/>
        <w:ind w:firstLine="567"/>
        <w:rPr>
          <w:rFonts w:ascii="Times New Roman" w:hAnsi="Times New Roman" w:cs="Times New Roman"/>
          <w:sz w:val="22"/>
        </w:rPr>
      </w:pPr>
      <w:bookmarkStart w:id="145" w:name="_Toc147345433"/>
      <w:bookmarkStart w:id="146" w:name="_Toc168064811"/>
      <w:r>
        <w:rPr>
          <w:rFonts w:ascii="Times New Roman" w:eastAsiaTheme="minorEastAsia" w:hAnsi="Times New Roman" w:cstheme="minorHAnsi"/>
          <w:sz w:val="22"/>
        </w:rPr>
        <w:t>Громадські будівлі</w:t>
      </w:r>
      <w:bookmarkEnd w:id="145"/>
      <w:bookmarkEnd w:id="146"/>
    </w:p>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147" w:name="_Toc147345434"/>
      <w:r>
        <w:rPr>
          <w:rFonts w:ascii="Times New Roman" w:eastAsiaTheme="minorEastAsia" w:hAnsi="Times New Roman" w:cstheme="minorHAnsi"/>
          <w:b/>
          <w:bCs/>
          <w:sz w:val="22"/>
        </w:rPr>
        <w:t>Аналіз даних</w:t>
      </w:r>
      <w:bookmarkEnd w:id="147"/>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Вихідні дані:  файл «Форми збору свод 2.xlsx» вкладка «Громадські будівлі».</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bCs/>
          <w:sz w:val="22"/>
        </w:rPr>
        <w:t>Не коректні дані для початкового розрахунку</w:t>
      </w:r>
      <w:r>
        <w:rPr>
          <w:rFonts w:ascii="Times New Roman" w:eastAsiaTheme="minorEastAsia" w:hAnsi="Times New Roman" w:cstheme="minorHAnsi"/>
          <w:sz w:val="22"/>
        </w:rPr>
        <w:t xml:space="preserve"> – загальна площа та об’єм будівель. Для коректних розрахунків та визначення показників вказана площа та об’єм має бути уточнена.</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bCs/>
          <w:sz w:val="22"/>
        </w:rPr>
        <w:t>Відсутні дані для початкового розрахунку</w:t>
      </w:r>
      <w:r>
        <w:rPr>
          <w:rFonts w:ascii="Times New Roman" w:eastAsiaTheme="minorEastAsia" w:hAnsi="Times New Roman" w:cstheme="minorHAnsi"/>
          <w:sz w:val="22"/>
        </w:rPr>
        <w:t xml:space="preserve"> - Кількість будівель, включених до системи</w:t>
      </w:r>
      <w:r>
        <w:rPr>
          <w:rFonts w:ascii="Times New Roman" w:eastAsiaTheme="minorEastAsia" w:hAnsi="Times New Roman" w:cstheme="minorHAnsi"/>
          <w:sz w:val="22"/>
        </w:rPr>
        <w:t xml:space="preserve"> енергетичного моніторингу ОМС; Кількість будівель, включених до системи автоматичного (дистанційного) збору інформації ОМС про енергоспоживання будівель; Кількість будівель, що мають дійсний енергетичний сертифікат. Для коректних розрахунків та визначення</w:t>
      </w:r>
      <w:r>
        <w:rPr>
          <w:rFonts w:ascii="Times New Roman" w:eastAsiaTheme="minorEastAsia" w:hAnsi="Times New Roman" w:cstheme="minorHAnsi"/>
          <w:sz w:val="22"/>
        </w:rPr>
        <w:t xml:space="preserve"> показників вище наведені показники мають бути уточнена.</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bCs/>
          <w:sz w:val="22"/>
        </w:rPr>
        <w:t xml:space="preserve">Відсутні дані для початкового розрахунку – </w:t>
      </w:r>
      <w:r>
        <w:rPr>
          <w:rFonts w:ascii="Times New Roman" w:eastAsiaTheme="minorEastAsia" w:hAnsi="Times New Roman" w:cstheme="minorHAnsi"/>
          <w:sz w:val="22"/>
        </w:rPr>
        <w:t>Клас енергетичної ефективності</w:t>
      </w:r>
      <w:r>
        <w:rPr>
          <w:rFonts w:ascii="Times New Roman" w:eastAsiaTheme="minorEastAsia" w:hAnsi="Times New Roman" w:cstheme="minorHAnsi"/>
          <w:bCs/>
          <w:sz w:val="22"/>
        </w:rPr>
        <w:t xml:space="preserve">. </w:t>
      </w:r>
      <w:r>
        <w:rPr>
          <w:rFonts w:ascii="Times New Roman" w:eastAsiaTheme="minorEastAsia" w:hAnsi="Times New Roman" w:cstheme="minorHAnsi"/>
          <w:sz w:val="22"/>
        </w:rPr>
        <w:t>Для коректних розрахунків та визначення показників вище наведені показники мають бути уточнена.</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Отримані результати наведені</w:t>
      </w:r>
      <w:r>
        <w:rPr>
          <w:rFonts w:ascii="Times New Roman" w:eastAsiaTheme="minorEastAsia" w:hAnsi="Times New Roman" w:cstheme="minorHAnsi"/>
          <w:sz w:val="22"/>
        </w:rPr>
        <w:t xml:space="preserve"> в таблиці нижче.</w:t>
      </w:r>
    </w:p>
    <w:p w:rsidR="00275E65" w:rsidRDefault="00902217">
      <w:pPr>
        <w:pStyle w:val="Artblname"/>
        <w:tabs>
          <w:tab w:val="left" w:pos="709"/>
        </w:tabs>
        <w:spacing w:line="276" w:lineRule="auto"/>
        <w:ind w:firstLine="567"/>
        <w:rPr>
          <w:rFonts w:ascii="Times New Roman" w:hAnsi="Times New Roman" w:cs="Times New Roman"/>
          <w:sz w:val="22"/>
        </w:rPr>
      </w:pPr>
      <w:bookmarkStart w:id="148" w:name="_Toc147345441"/>
      <w:bookmarkStart w:id="149" w:name="_Toc168064843"/>
      <w:r>
        <w:rPr>
          <w:rFonts w:ascii="Times New Roman" w:eastAsiaTheme="minorEastAsia" w:hAnsi="Times New Roman" w:cstheme="minorHAnsi"/>
          <w:sz w:val="22"/>
        </w:rPr>
        <w:t>Структура громадських будівель бюджетних установ, що фінансуються з місцевого бюджету</w:t>
      </w:r>
      <w:bookmarkEnd w:id="148"/>
      <w:bookmarkEnd w:id="149"/>
    </w:p>
    <w:tbl>
      <w:tblPr>
        <w:tblStyle w:val="GridTable5DarkAccent3"/>
        <w:tblW w:w="9570" w:type="dxa"/>
        <w:shd w:val="clear" w:color="auto" w:fill="EDEDED"/>
        <w:tblLayout w:type="fixed"/>
        <w:tblLook w:val="04A0" w:firstRow="1" w:lastRow="0" w:firstColumn="1" w:lastColumn="0" w:noHBand="0" w:noVBand="1"/>
      </w:tblPr>
      <w:tblGrid>
        <w:gridCol w:w="531"/>
        <w:gridCol w:w="6292"/>
        <w:gridCol w:w="1571"/>
        <w:gridCol w:w="1176"/>
      </w:tblGrid>
      <w:tr w:rsidR="00275E65" w:rsidTr="00275E65">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w:t>
            </w:r>
          </w:p>
        </w:tc>
        <w:tc>
          <w:tcPr>
            <w:tcW w:w="629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Ключові енергетичні показники</w:t>
            </w:r>
          </w:p>
        </w:tc>
        <w:tc>
          <w:tcPr>
            <w:tcW w:w="157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Одиниця </w:t>
            </w:r>
            <w:r>
              <w:rPr>
                <w:rFonts w:ascii="Times New Roman" w:hAnsi="Times New Roman" w:cs="Times New Roman"/>
                <w:sz w:val="22"/>
              </w:rPr>
              <w:br/>
              <w:t>вимірювання</w:t>
            </w:r>
          </w:p>
        </w:tc>
        <w:tc>
          <w:tcPr>
            <w:tcW w:w="1176"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Значення</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60" w:firstLine="567"/>
              <w:rPr>
                <w:rFonts w:ascii="Times New Roman" w:hAnsi="Times New Roman" w:cs="Times New Roman"/>
                <w:sz w:val="22"/>
              </w:rPr>
            </w:pPr>
            <w:r>
              <w:rPr>
                <w:rFonts w:ascii="Times New Roman" w:hAnsi="Times New Roman" w:cs="Times New Roman"/>
                <w:sz w:val="22"/>
              </w:rPr>
              <w:t>2.1</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Структура громадських будівель бюджетних установ, що фінансуються з місцевого бюджету (за загальною площею), всього, у тому числі:</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100,00%</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60"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дошкільної освіти</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vAlign w:val="bottom"/>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Pr>
                <w:rFonts w:ascii="Times New Roman" w:hAnsi="Times New Roman" w:cs="Times New Roman"/>
                <w:color w:val="000000"/>
                <w:sz w:val="22"/>
              </w:rPr>
              <w:t>5,58%</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60"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освіти</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vAlign w:val="bottom"/>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Pr>
                <w:rFonts w:ascii="Times New Roman" w:hAnsi="Times New Roman" w:cs="Times New Roman"/>
                <w:color w:val="000000"/>
                <w:sz w:val="22"/>
              </w:rPr>
              <w:t>57,81%</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охорони здоров’я</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vAlign w:val="bottom"/>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Pr>
                <w:rFonts w:ascii="Times New Roman" w:hAnsi="Times New Roman" w:cs="Times New Roman"/>
                <w:color w:val="000000"/>
                <w:sz w:val="22"/>
              </w:rPr>
              <w:t>18,67%</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соціального захисту населення</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vAlign w:val="bottom"/>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ru-RU"/>
              </w:rPr>
            </w:pPr>
            <w:r>
              <w:rPr>
                <w:rFonts w:ascii="Times New Roman" w:hAnsi="Times New Roman" w:cs="Times New Roman"/>
                <w:sz w:val="22"/>
                <w:lang w:val="ru-RU"/>
              </w:rPr>
              <w:t>-</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інших бюджетних установ</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vAlign w:val="bottom"/>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color w:val="000000"/>
                <w:sz w:val="22"/>
              </w:rPr>
              <w:t>17,95%</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71" w:firstLine="567"/>
              <w:rPr>
                <w:rFonts w:ascii="Times New Roman" w:hAnsi="Times New Roman" w:cs="Times New Roman"/>
                <w:sz w:val="22"/>
              </w:rPr>
            </w:pPr>
            <w:r>
              <w:rPr>
                <w:rFonts w:ascii="Times New Roman" w:hAnsi="Times New Roman" w:cs="Times New Roman"/>
                <w:sz w:val="22"/>
              </w:rPr>
              <w:t>2.2</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Частка громадських будівель бюджетних установ, що фінансуються з місцевого бюджету, включених до системи енергетичного моніторингу (за загальною площею)</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71" w:firstLine="567"/>
              <w:rPr>
                <w:rFonts w:ascii="Times New Roman" w:hAnsi="Times New Roman" w:cs="Times New Roman"/>
                <w:sz w:val="22"/>
              </w:rPr>
            </w:pPr>
            <w:r>
              <w:rPr>
                <w:rFonts w:ascii="Times New Roman" w:hAnsi="Times New Roman" w:cs="Times New Roman"/>
                <w:sz w:val="22"/>
              </w:rPr>
              <w:t>2.3</w:t>
            </w: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Частка громадських будівель бюджетних установ, що фінансуються з місцевого бюджету, включених </w:t>
            </w:r>
            <w:r>
              <w:rPr>
                <w:rFonts w:ascii="Times New Roman" w:hAnsi="Times New Roman" w:cs="Times New Roman"/>
                <w:sz w:val="22"/>
              </w:rPr>
              <w:t>до системи автоматизованого збору інформації про споживання енергії (за загальною площею)</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71" w:firstLine="567"/>
              <w:rPr>
                <w:rFonts w:ascii="Times New Roman" w:hAnsi="Times New Roman" w:cs="Times New Roman"/>
                <w:sz w:val="22"/>
              </w:rPr>
            </w:pPr>
            <w:r>
              <w:rPr>
                <w:rFonts w:ascii="Times New Roman" w:hAnsi="Times New Roman" w:cs="Times New Roman"/>
                <w:sz w:val="22"/>
              </w:rPr>
              <w:t>2.4</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Питоме розрахункове енергоспоживання при опаленні та охолодженні будівель бюджетних установ, що фінансуються з місцевого бюджету, всього, у тому числі:</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1,5</w:t>
            </w:r>
            <w:r>
              <w:rPr>
                <w:rFonts w:ascii="Times New Roman" w:hAnsi="Times New Roman" w:cs="Times New Roman"/>
                <w:sz w:val="22"/>
                <w:lang w:val="ru-RU"/>
              </w:rPr>
              <w:t>9</w:t>
            </w:r>
            <w:r>
              <w:rPr>
                <w:rFonts w:ascii="Times New Roman" w:hAnsi="Times New Roman" w:cs="Times New Roman"/>
                <w:sz w:val="22"/>
              </w:rPr>
              <w:t>%</w:t>
            </w:r>
          </w:p>
        </w:tc>
      </w:tr>
    </w:tbl>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У відповідності із методом визначення розрахункового енергоспоживання при опаленні та охолодженні необхідно провезти енергетичні розрахунки за ДСТУ 9190:2022 Енергетична ефективність будівель. Метод розрахунку енергоспоживання під час опалення, охолодж</w:t>
      </w:r>
      <w:r>
        <w:rPr>
          <w:rFonts w:ascii="Times New Roman" w:eastAsiaTheme="minorEastAsia" w:hAnsi="Times New Roman" w:cstheme="minorHAnsi"/>
          <w:sz w:val="22"/>
        </w:rPr>
        <w:t xml:space="preserve">ення, вентиляції, освітлення та гарячого водопостачання.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i/>
          <w:iCs/>
          <w:sz w:val="22"/>
        </w:rPr>
        <w:t xml:space="preserve">Припущення. </w:t>
      </w:r>
      <w:r>
        <w:rPr>
          <w:rFonts w:ascii="Times New Roman" w:eastAsiaTheme="minorEastAsia" w:hAnsi="Times New Roman" w:cstheme="minorHAnsi"/>
          <w:sz w:val="22"/>
        </w:rPr>
        <w:tab/>
      </w:r>
      <w:r>
        <w:rPr>
          <w:rFonts w:ascii="Times New Roman" w:eastAsiaTheme="minorEastAsia" w:hAnsi="Times New Roman" w:cstheme="minorHAnsi"/>
          <w:sz w:val="22"/>
        </w:rPr>
        <w:t>Для проведення розрахунків приймаємо питоме розрахункове енергоспоживання при опаленні та охолодженні житлових будівель на рівні, середньостатистичних значень раніше розроблених та зареєстрованих сертифікатів енергетичної ефективності будівель з класом ене</w:t>
      </w:r>
      <w:r>
        <w:rPr>
          <w:rFonts w:ascii="Times New Roman" w:eastAsiaTheme="minorEastAsia" w:hAnsi="Times New Roman" w:cstheme="minorHAnsi"/>
          <w:sz w:val="22"/>
        </w:rPr>
        <w:t>ргетичної ефективності «G» та подібних за видами будівель, а саме: заклади дошкільної освіти, заклади освіти, заклади охорони здоров’я, заклади соціального захисту населення та інших бюджетних установ.</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Отримані результати наведені в таблиці нижче.</w:t>
      </w:r>
    </w:p>
    <w:p w:rsidR="00275E65" w:rsidRDefault="00902217">
      <w:pPr>
        <w:pStyle w:val="Artblname"/>
        <w:tabs>
          <w:tab w:val="left" w:pos="709"/>
        </w:tabs>
        <w:spacing w:line="276" w:lineRule="auto"/>
        <w:ind w:firstLine="567"/>
        <w:rPr>
          <w:rFonts w:ascii="Times New Roman" w:hAnsi="Times New Roman" w:cs="Times New Roman"/>
          <w:sz w:val="22"/>
        </w:rPr>
      </w:pPr>
      <w:bookmarkStart w:id="150" w:name="_Toc147345442"/>
      <w:bookmarkStart w:id="151" w:name="_Toc168064844"/>
      <w:r>
        <w:rPr>
          <w:rFonts w:ascii="Times New Roman" w:eastAsiaTheme="minorEastAsia" w:hAnsi="Times New Roman" w:cstheme="minorHAnsi"/>
          <w:sz w:val="22"/>
        </w:rPr>
        <w:t>Питоме розрахункове енергоспоживання при опаленні та охолодженні будівель бюджетних установ, що фінансуються з місцевого бюджету.</w:t>
      </w:r>
      <w:bookmarkEnd w:id="150"/>
      <w:bookmarkEnd w:id="151"/>
    </w:p>
    <w:tbl>
      <w:tblPr>
        <w:tblStyle w:val="GridTable5DarkAccent3"/>
        <w:tblW w:w="9570" w:type="dxa"/>
        <w:shd w:val="clear" w:color="auto" w:fill="EDEDED"/>
        <w:tblLayout w:type="fixed"/>
        <w:tblLook w:val="04A0" w:firstRow="1" w:lastRow="0" w:firstColumn="1" w:lastColumn="0" w:noHBand="0" w:noVBand="1"/>
      </w:tblPr>
      <w:tblGrid>
        <w:gridCol w:w="531"/>
        <w:gridCol w:w="6292"/>
        <w:gridCol w:w="1571"/>
        <w:gridCol w:w="1176"/>
      </w:tblGrid>
      <w:tr w:rsidR="00275E65" w:rsidTr="00275E65">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w:t>
            </w:r>
          </w:p>
        </w:tc>
        <w:tc>
          <w:tcPr>
            <w:tcW w:w="629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Ключові енергетичні показники</w:t>
            </w:r>
          </w:p>
        </w:tc>
        <w:tc>
          <w:tcPr>
            <w:tcW w:w="157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Одиниця </w:t>
            </w:r>
            <w:r>
              <w:rPr>
                <w:rFonts w:ascii="Times New Roman" w:hAnsi="Times New Roman" w:cs="Times New Roman"/>
                <w:sz w:val="22"/>
              </w:rPr>
              <w:br/>
              <w:t>вимірювання</w:t>
            </w:r>
          </w:p>
        </w:tc>
        <w:tc>
          <w:tcPr>
            <w:tcW w:w="1176"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Значення</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2.5</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Питоме розрахункове енергоспоживання при опаленні та охолод</w:t>
            </w:r>
            <w:r>
              <w:rPr>
                <w:rFonts w:ascii="Times New Roman" w:hAnsi="Times New Roman" w:cs="Times New Roman"/>
                <w:sz w:val="22"/>
              </w:rPr>
              <w:t>женні будівель бюджетних установ, що фінансуються з місцевого бюджету, всього, у тому числі:</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дошкільної освіти</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год/м³</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120</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освіти</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год/м³</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110</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охорони здоров’я</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год/м³</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97</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 </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соціального захисту населення</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год/м³</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39"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інших бюджетних установ</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год/м³</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85</w:t>
            </w:r>
          </w:p>
        </w:tc>
      </w:tr>
    </w:tbl>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Фактичне енергоспоживання розраховано на основі отриманих даних: вкладка «Громадські будівлі», таблиця 2 «Характеристики громадських буд</w:t>
      </w:r>
      <w:r>
        <w:rPr>
          <w:rFonts w:ascii="Times New Roman" w:eastAsiaTheme="minorEastAsia" w:hAnsi="Times New Roman" w:cstheme="minorHAnsi"/>
          <w:sz w:val="22"/>
        </w:rPr>
        <w:t>івель, що утримуються за рахунок бюджету місцевого самоврядування», та з колонок:</w:t>
      </w:r>
    </w:p>
    <w:p w:rsidR="00275E65" w:rsidRDefault="00902217">
      <w:pPr>
        <w:pStyle w:val="Arord"/>
        <w:numPr>
          <w:ilvl w:val="0"/>
          <w:numId w:val="5"/>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Річне споживання теплової енергії на опалення, Гкал;</w:t>
      </w:r>
    </w:p>
    <w:p w:rsidR="00275E65" w:rsidRDefault="00902217">
      <w:pPr>
        <w:pStyle w:val="Arord"/>
        <w:numPr>
          <w:ilvl w:val="0"/>
          <w:numId w:val="5"/>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Річне споживання природного газу, тис. м³;</w:t>
      </w:r>
    </w:p>
    <w:p w:rsidR="00275E65" w:rsidRDefault="00902217">
      <w:pPr>
        <w:pStyle w:val="Arord"/>
        <w:numPr>
          <w:ilvl w:val="0"/>
          <w:numId w:val="5"/>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Річне споживання біометану, тис. м³;</w:t>
      </w:r>
    </w:p>
    <w:p w:rsidR="00275E65" w:rsidRDefault="00902217">
      <w:pPr>
        <w:pStyle w:val="Arord"/>
        <w:numPr>
          <w:ilvl w:val="0"/>
          <w:numId w:val="5"/>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Річне споживання біомаси (пелети), м³ (тон);</w:t>
      </w:r>
    </w:p>
    <w:p w:rsidR="00275E65" w:rsidRDefault="00902217">
      <w:pPr>
        <w:pStyle w:val="Arord"/>
        <w:numPr>
          <w:ilvl w:val="0"/>
          <w:numId w:val="5"/>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Річне споживання біомаси (тріска), м³ (тон);</w:t>
      </w:r>
    </w:p>
    <w:p w:rsidR="00275E65" w:rsidRDefault="00902217">
      <w:pPr>
        <w:pStyle w:val="Arord"/>
        <w:numPr>
          <w:ilvl w:val="0"/>
          <w:numId w:val="5"/>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Річне споживання біомаси (дрова), м³;</w:t>
      </w:r>
    </w:p>
    <w:p w:rsidR="00275E65" w:rsidRDefault="00902217">
      <w:pPr>
        <w:pStyle w:val="Arord"/>
        <w:numPr>
          <w:ilvl w:val="0"/>
          <w:numId w:val="5"/>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Річне споживання вугілля, тон;</w:t>
      </w:r>
    </w:p>
    <w:p w:rsidR="00275E65" w:rsidRDefault="00902217">
      <w:pPr>
        <w:pStyle w:val="Arord"/>
        <w:numPr>
          <w:ilvl w:val="0"/>
          <w:numId w:val="5"/>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Річне споживання іншого виду енергії (торфяних брикетів) (тонн).</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із застосуванням коефіцієнту пер</w:t>
      </w:r>
      <w:r>
        <w:rPr>
          <w:rFonts w:ascii="Times New Roman" w:eastAsiaTheme="minorEastAsia" w:hAnsi="Times New Roman" w:cstheme="minorHAnsi"/>
          <w:sz w:val="22"/>
        </w:rPr>
        <w:t>еводу зазначеного в Додатку 3 до Порядку розроблення та оновлення місцевих енергетичних планів.</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Отримані результати наведені в таблиці нижче.</w:t>
      </w:r>
    </w:p>
    <w:p w:rsidR="00275E65" w:rsidRDefault="00902217">
      <w:pPr>
        <w:pStyle w:val="Artblname"/>
        <w:tabs>
          <w:tab w:val="left" w:pos="709"/>
        </w:tabs>
        <w:spacing w:line="276" w:lineRule="auto"/>
        <w:ind w:firstLine="567"/>
        <w:rPr>
          <w:rFonts w:ascii="Times New Roman" w:hAnsi="Times New Roman" w:cs="Times New Roman"/>
          <w:sz w:val="22"/>
        </w:rPr>
      </w:pPr>
      <w:bookmarkStart w:id="152" w:name="_Toc147345443"/>
      <w:bookmarkStart w:id="153" w:name="_Toc168064845"/>
      <w:r>
        <w:rPr>
          <w:rFonts w:ascii="Times New Roman" w:eastAsiaTheme="minorEastAsia" w:hAnsi="Times New Roman" w:cstheme="minorHAnsi"/>
          <w:sz w:val="22"/>
        </w:rPr>
        <w:t>Питоме фактичне енергоспоживання при опаленні будівель бюджетних установ, що фінансуються з місцевого бюджету.</w:t>
      </w:r>
      <w:bookmarkEnd w:id="152"/>
      <w:bookmarkEnd w:id="153"/>
    </w:p>
    <w:tbl>
      <w:tblPr>
        <w:tblStyle w:val="GridTable5DarkAccent3"/>
        <w:tblW w:w="9570" w:type="dxa"/>
        <w:shd w:val="clear" w:color="auto" w:fill="EDEDED"/>
        <w:tblLayout w:type="fixed"/>
        <w:tblLook w:val="04A0" w:firstRow="1" w:lastRow="0" w:firstColumn="1" w:lastColumn="0" w:noHBand="0" w:noVBand="1"/>
      </w:tblPr>
      <w:tblGrid>
        <w:gridCol w:w="531"/>
        <w:gridCol w:w="6292"/>
        <w:gridCol w:w="1571"/>
        <w:gridCol w:w="1176"/>
      </w:tblGrid>
      <w:tr w:rsidR="00275E65" w:rsidTr="00275E65">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w:t>
            </w:r>
          </w:p>
        </w:tc>
        <w:tc>
          <w:tcPr>
            <w:tcW w:w="629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w:t>
            </w:r>
            <w:r>
              <w:rPr>
                <w:rFonts w:ascii="Times New Roman" w:hAnsi="Times New Roman" w:cs="Times New Roman"/>
                <w:sz w:val="22"/>
              </w:rPr>
              <w:t>лючові енергетичні показники</w:t>
            </w:r>
          </w:p>
        </w:tc>
        <w:tc>
          <w:tcPr>
            <w:tcW w:w="157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Одиниця </w:t>
            </w:r>
            <w:r>
              <w:rPr>
                <w:rFonts w:ascii="Times New Roman" w:hAnsi="Times New Roman" w:cs="Times New Roman"/>
                <w:sz w:val="22"/>
              </w:rPr>
              <w:br/>
              <w:t>вимірювання</w:t>
            </w:r>
          </w:p>
        </w:tc>
        <w:tc>
          <w:tcPr>
            <w:tcW w:w="1176"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Значення</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82" w:firstLine="567"/>
              <w:rPr>
                <w:rFonts w:ascii="Times New Roman" w:hAnsi="Times New Roman" w:cs="Times New Roman"/>
                <w:sz w:val="22"/>
              </w:rPr>
            </w:pPr>
            <w:r>
              <w:rPr>
                <w:rFonts w:ascii="Times New Roman" w:hAnsi="Times New Roman" w:cs="Times New Roman"/>
                <w:sz w:val="22"/>
              </w:rPr>
              <w:t>2.6</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Питоме фактичне енергоспоживання при опаленні будівель бюджетних установ, що фінансуються з місцевого бюджету, всього, у тому числі:</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год/м³</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Pr>
                <w:rFonts w:ascii="Times New Roman" w:hAnsi="Times New Roman" w:cs="Times New Roman"/>
                <w:color w:val="000000"/>
                <w:sz w:val="22"/>
              </w:rPr>
              <w:t>68,5</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82"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дошкільної освіти</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год/м³</w:t>
            </w:r>
          </w:p>
        </w:tc>
        <w:tc>
          <w:tcPr>
            <w:tcW w:w="1176" w:type="dxa"/>
            <w:vAlign w:val="bottom"/>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color w:val="000000"/>
                <w:sz w:val="22"/>
              </w:rPr>
              <w:t>167,8</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82"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освіти</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год/м³</w:t>
            </w:r>
          </w:p>
        </w:tc>
        <w:tc>
          <w:tcPr>
            <w:tcW w:w="1176" w:type="dxa"/>
            <w:vAlign w:val="bottom"/>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color w:val="000000"/>
                <w:sz w:val="22"/>
              </w:rPr>
              <w:t>74,1</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82"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охорони здоров’я</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год/м³</w:t>
            </w:r>
          </w:p>
        </w:tc>
        <w:tc>
          <w:tcPr>
            <w:tcW w:w="1176" w:type="dxa"/>
            <w:vAlign w:val="bottom"/>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color w:val="000000"/>
                <w:sz w:val="22"/>
              </w:rPr>
              <w:t>47,2</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82"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соціального захисту населення</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год/м³</w:t>
            </w:r>
          </w:p>
        </w:tc>
        <w:tc>
          <w:tcPr>
            <w:tcW w:w="1176"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82"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інших бюджетних установ</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год/м³</w:t>
            </w:r>
          </w:p>
        </w:tc>
        <w:tc>
          <w:tcPr>
            <w:tcW w:w="1176"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Pr>
                <w:rFonts w:ascii="Times New Roman" w:hAnsi="Times New Roman" w:cs="Times New Roman"/>
                <w:color w:val="000000"/>
                <w:sz w:val="22"/>
              </w:rPr>
              <w:t>55,6</w:t>
            </w:r>
          </w:p>
        </w:tc>
      </w:tr>
    </w:tbl>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Фактичне споживання ел</w:t>
      </w:r>
      <w:r>
        <w:rPr>
          <w:rFonts w:ascii="Times New Roman" w:eastAsiaTheme="minorEastAsia" w:hAnsi="Times New Roman" w:cstheme="minorHAnsi"/>
          <w:sz w:val="22"/>
        </w:rPr>
        <w:t>ектроенергії розраховано на основі отриманих даних: вкладка «Громадські будівлі», таблиця 2 «Характеристики громадських будівель, що утримуються за рахунок бюджету місцевого самоврядування», та з колонки «Річне споживання електричної енергії, тис. кВт·год»</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Отримані результати наведені в таблиці 8.</w:t>
      </w:r>
    </w:p>
    <w:p w:rsidR="00275E65" w:rsidRDefault="00902217">
      <w:pPr>
        <w:pStyle w:val="Artblname"/>
        <w:tabs>
          <w:tab w:val="left" w:pos="709"/>
        </w:tabs>
        <w:spacing w:line="276" w:lineRule="auto"/>
        <w:ind w:firstLine="567"/>
        <w:rPr>
          <w:rFonts w:ascii="Times New Roman" w:hAnsi="Times New Roman" w:cs="Times New Roman"/>
          <w:sz w:val="22"/>
        </w:rPr>
      </w:pPr>
      <w:bookmarkStart w:id="154" w:name="_Toc147345444"/>
      <w:bookmarkStart w:id="155" w:name="_Toc168064846"/>
      <w:r>
        <w:rPr>
          <w:rFonts w:ascii="Times New Roman" w:eastAsiaTheme="minorEastAsia" w:hAnsi="Times New Roman" w:cstheme="minorHAnsi"/>
          <w:sz w:val="22"/>
        </w:rPr>
        <w:t>Питоме фактичне електроспоживання при опаленні будівель бюджетних установ, що фінансуються з місцевого бюджету.</w:t>
      </w:r>
      <w:bookmarkEnd w:id="154"/>
      <w:bookmarkEnd w:id="155"/>
    </w:p>
    <w:tbl>
      <w:tblPr>
        <w:tblStyle w:val="GridTable5DarkAccent3"/>
        <w:tblW w:w="9570" w:type="dxa"/>
        <w:shd w:val="clear" w:color="auto" w:fill="EDEDED"/>
        <w:tblLayout w:type="fixed"/>
        <w:tblLook w:val="04A0" w:firstRow="1" w:lastRow="0" w:firstColumn="1" w:lastColumn="0" w:noHBand="0" w:noVBand="1"/>
      </w:tblPr>
      <w:tblGrid>
        <w:gridCol w:w="531"/>
        <w:gridCol w:w="6292"/>
        <w:gridCol w:w="1571"/>
        <w:gridCol w:w="1176"/>
      </w:tblGrid>
      <w:tr w:rsidR="00275E65" w:rsidTr="00275E65">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531" w:type="dxa"/>
          </w:tcPr>
          <w:p w:rsidR="00275E65" w:rsidRDefault="00902217">
            <w:pPr>
              <w:pStyle w:val="Artblin"/>
              <w:tabs>
                <w:tab w:val="left" w:pos="709"/>
              </w:tabs>
              <w:spacing w:line="276" w:lineRule="auto"/>
              <w:ind w:firstLine="567"/>
              <w:rPr>
                <w:rFonts w:ascii="Times New Roman" w:hAnsi="Times New Roman" w:cs="Times New Roman"/>
                <w:sz w:val="22"/>
              </w:rPr>
            </w:pPr>
            <w:r>
              <w:rPr>
                <w:rFonts w:ascii="Times New Roman" w:hAnsi="Times New Roman" w:cs="Times New Roman"/>
                <w:sz w:val="22"/>
              </w:rPr>
              <w:t>№</w:t>
            </w:r>
          </w:p>
        </w:tc>
        <w:tc>
          <w:tcPr>
            <w:tcW w:w="629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Ключові енергетичні показники</w:t>
            </w:r>
          </w:p>
        </w:tc>
        <w:tc>
          <w:tcPr>
            <w:tcW w:w="1571"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Одиниця </w:t>
            </w:r>
            <w:r>
              <w:rPr>
                <w:rFonts w:ascii="Times New Roman" w:hAnsi="Times New Roman" w:cs="Times New Roman"/>
                <w:sz w:val="22"/>
              </w:rPr>
              <w:br/>
              <w:t>вимірювання</w:t>
            </w:r>
          </w:p>
        </w:tc>
        <w:tc>
          <w:tcPr>
            <w:tcW w:w="1176" w:type="dxa"/>
            <w:tcBorders>
              <w:bottom w:val="none" w:sz="4" w:space="0" w:color="000000"/>
            </w:tcBorders>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Значення</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2.7</w:t>
            </w: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Питоме споживання електроенергії в будівлях бюджетних установ, всього, у тому числі:</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vAlign w:val="bottom"/>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11,9</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39"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дошкільної освіти</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vAlign w:val="bottom"/>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7,7</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39"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освіти</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vAlign w:val="bottom"/>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5,6</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39"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охорони здоров’я</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vAlign w:val="bottom"/>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34,0</w:t>
            </w:r>
          </w:p>
        </w:tc>
      </w:tr>
      <w:tr w:rsidR="00275E65" w:rsidTr="00275E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39"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закладів соціального захисту населення</w:t>
            </w:r>
          </w:p>
        </w:tc>
        <w:tc>
          <w:tcPr>
            <w:tcW w:w="1571" w:type="dxa"/>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vAlign w:val="bottom"/>
          </w:tcPr>
          <w:p w:rsidR="00275E65" w:rsidRDefault="00902217">
            <w:pPr>
              <w:pStyle w:val="Artblin"/>
              <w:tabs>
                <w:tab w:val="left" w:pos="709"/>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r w:rsidR="00275E65" w:rsidTr="00275E65">
        <w:trPr>
          <w:trHeight w:val="358"/>
        </w:trPr>
        <w:tc>
          <w:tcPr>
            <w:cnfStyle w:val="001000000000" w:firstRow="0" w:lastRow="0" w:firstColumn="1" w:lastColumn="0" w:oddVBand="0" w:evenVBand="0" w:oddHBand="0" w:evenHBand="0" w:firstRowFirstColumn="0" w:firstRowLastColumn="0" w:lastRowFirstColumn="0" w:lastRowLastColumn="0"/>
            <w:tcW w:w="531" w:type="dxa"/>
            <w:tcBorders>
              <w:right w:val="none" w:sz="4" w:space="0" w:color="000000"/>
            </w:tcBorders>
          </w:tcPr>
          <w:p w:rsidR="00275E65" w:rsidRDefault="00275E65">
            <w:pPr>
              <w:pStyle w:val="Artblin"/>
              <w:tabs>
                <w:tab w:val="left" w:pos="709"/>
              </w:tabs>
              <w:spacing w:line="276" w:lineRule="auto"/>
              <w:ind w:left="-539" w:firstLine="567"/>
              <w:rPr>
                <w:rFonts w:ascii="Times New Roman" w:hAnsi="Times New Roman" w:cs="Times New Roman"/>
                <w:sz w:val="22"/>
              </w:rPr>
            </w:pPr>
          </w:p>
        </w:tc>
        <w:tc>
          <w:tcPr>
            <w:tcW w:w="629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будівлі інших бюджетних установ</w:t>
            </w:r>
          </w:p>
        </w:tc>
        <w:tc>
          <w:tcPr>
            <w:tcW w:w="1571"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кВт</w:t>
            </w:r>
            <w:r>
              <w:rPr>
                <w:rFonts w:ascii="Cambria Math" w:hAnsi="Cambria Math" w:cs="Cambria Math"/>
                <w:sz w:val="22"/>
              </w:rPr>
              <w:t>⋅</w:t>
            </w:r>
            <w:r>
              <w:rPr>
                <w:rFonts w:ascii="Times New Roman" w:hAnsi="Times New Roman" w:cs="Times New Roman"/>
                <w:sz w:val="22"/>
              </w:rPr>
              <w:t>год/м²</w:t>
            </w:r>
          </w:p>
        </w:tc>
        <w:tc>
          <w:tcPr>
            <w:tcW w:w="1176" w:type="dxa"/>
            <w:vAlign w:val="bottom"/>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10,3</w:t>
            </w:r>
          </w:p>
        </w:tc>
      </w:tr>
    </w:tbl>
    <w:p w:rsidR="00275E65" w:rsidRDefault="00902217">
      <w:pPr>
        <w:pStyle w:val="Arord"/>
        <w:tabs>
          <w:tab w:val="left" w:pos="709"/>
        </w:tabs>
        <w:spacing w:after="0" w:line="276" w:lineRule="auto"/>
        <w:ind w:firstLine="567"/>
        <w:rPr>
          <w:rFonts w:ascii="Times New Roman" w:hAnsi="Times New Roman" w:cs="Times New Roman"/>
          <w:b/>
          <w:bCs/>
          <w:sz w:val="22"/>
        </w:rPr>
      </w:pPr>
      <w:bookmarkStart w:id="156" w:name="_Toc147345435"/>
      <w:r>
        <w:rPr>
          <w:rFonts w:ascii="Times New Roman" w:eastAsiaTheme="minorEastAsia" w:hAnsi="Times New Roman" w:cstheme="minorHAnsi"/>
          <w:b/>
          <w:bCs/>
          <w:sz w:val="22"/>
        </w:rPr>
        <w:t>Результати бенчмаркінг на основі отриманих даних від громади</w:t>
      </w:r>
      <w:bookmarkEnd w:id="156"/>
      <w:r>
        <w:rPr>
          <w:rFonts w:ascii="Times New Roman" w:eastAsiaTheme="minorEastAsia" w:hAnsi="Times New Roman" w:cstheme="minorHAnsi"/>
          <w:b/>
          <w:bCs/>
          <w:sz w:val="22"/>
        </w:rPr>
        <w:t xml:space="preserve"> </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40" cy="2880000"/>
            <wp:effectExtent l="0" t="0" r="10160" b="15875"/>
            <wp:docPr id="47" name="Діагра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57" w:name="_Toc147345483"/>
      <w:bookmarkStart w:id="158" w:name="_Toc168064885"/>
      <w:r>
        <w:rPr>
          <w:rFonts w:ascii="Times New Roman" w:eastAsiaTheme="minorEastAsia" w:hAnsi="Times New Roman" w:cstheme="minorHAnsi"/>
          <w:sz w:val="22"/>
        </w:rPr>
        <w:t>Питоме фактичне енергоспоживання на опалення закладів дошкільної освіти.</w:t>
      </w:r>
      <w:bookmarkEnd w:id="157"/>
      <w:bookmarkEnd w:id="158"/>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40" cy="3239770"/>
            <wp:effectExtent l="0" t="0" r="0" b="0"/>
            <wp:docPr id="48" name="Діагра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59" w:name="_Toc147345484"/>
      <w:bookmarkStart w:id="160" w:name="_Toc168064886"/>
      <w:r>
        <w:rPr>
          <w:rFonts w:ascii="Times New Roman" w:eastAsiaTheme="minorEastAsia" w:hAnsi="Times New Roman" w:cstheme="minorHAnsi"/>
          <w:sz w:val="22"/>
        </w:rPr>
        <w:t>Питоме фактичне енергоспоживання на опалення закладів освіти</w:t>
      </w:r>
      <w:bookmarkEnd w:id="159"/>
      <w:bookmarkEnd w:id="160"/>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40" cy="3239770"/>
            <wp:effectExtent l="0" t="0" r="0" b="0"/>
            <wp:docPr id="49" name="Діагра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61" w:name="_Toc147345485"/>
      <w:bookmarkStart w:id="162" w:name="_Toc168064887"/>
      <w:r>
        <w:rPr>
          <w:rFonts w:ascii="Times New Roman" w:eastAsiaTheme="minorEastAsia" w:hAnsi="Times New Roman" w:cstheme="minorHAnsi"/>
          <w:sz w:val="22"/>
        </w:rPr>
        <w:t>Питоме фактичне енергоспоживання на опалення закладів охорони здоров'я</w:t>
      </w:r>
      <w:bookmarkEnd w:id="161"/>
      <w:bookmarkEnd w:id="162"/>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40" cy="3239770"/>
            <wp:effectExtent l="0" t="0" r="0" b="0"/>
            <wp:docPr id="50" name="Діагра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63" w:name="_Toc147345486"/>
      <w:bookmarkStart w:id="164" w:name="_Toc168064888"/>
      <w:r>
        <w:rPr>
          <w:rFonts w:ascii="Times New Roman" w:eastAsiaTheme="minorEastAsia" w:hAnsi="Times New Roman" w:cstheme="minorHAnsi"/>
          <w:sz w:val="22"/>
        </w:rPr>
        <w:t>Питоме фактичне енергоспоживання на опалення для бюджетних будівель різного призначення</w:t>
      </w:r>
      <w:bookmarkEnd w:id="163"/>
      <w:bookmarkEnd w:id="164"/>
      <w:r>
        <w:rPr>
          <w:rFonts w:ascii="Times New Roman" w:eastAsiaTheme="minorEastAsia" w:hAnsi="Times New Roman" w:cstheme="minorHAnsi"/>
          <w:sz w:val="22"/>
        </w:rPr>
        <w:t xml:space="preserve">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Важливо зазначити, що значення,</w:t>
      </w:r>
      <w:r>
        <w:rPr>
          <w:rFonts w:ascii="Times New Roman" w:eastAsiaTheme="minorEastAsia" w:hAnsi="Times New Roman" w:cstheme="minorHAnsi"/>
          <w:sz w:val="22"/>
        </w:rPr>
        <w:t xml:space="preserve"> які знаходяться в межах мінімально необхідного питомого енергоспоживання та нижче нього зумовлені наступною причиною – це будівлі, що   використовуються лише в теплий період часу, або неповний опалювальний період та/або до них не встановленні мінімальні в</w:t>
      </w:r>
      <w:r>
        <w:rPr>
          <w:rFonts w:ascii="Times New Roman" w:eastAsiaTheme="minorEastAsia" w:hAnsi="Times New Roman" w:cstheme="minorHAnsi"/>
          <w:sz w:val="22"/>
        </w:rPr>
        <w:t xml:space="preserve">имоги, зокрема гаражі, клуби та інші. </w:t>
      </w:r>
    </w:p>
    <w:p w:rsidR="00275E65" w:rsidRDefault="00902217">
      <w:pPr>
        <w:pStyle w:val="Artblname"/>
        <w:tabs>
          <w:tab w:val="left" w:pos="709"/>
        </w:tabs>
        <w:spacing w:line="276" w:lineRule="auto"/>
        <w:ind w:firstLine="567"/>
        <w:rPr>
          <w:rFonts w:ascii="Times New Roman" w:hAnsi="Times New Roman" w:cs="Times New Roman"/>
          <w:sz w:val="22"/>
        </w:rPr>
      </w:pPr>
      <w:bookmarkStart w:id="165" w:name="_Toc147345445"/>
      <w:bookmarkStart w:id="166" w:name="_Toc168064847"/>
      <w:r>
        <w:rPr>
          <w:rFonts w:ascii="Times New Roman" w:eastAsiaTheme="minorEastAsia" w:hAnsi="Times New Roman" w:cstheme="minorHAnsi"/>
          <w:sz w:val="22"/>
        </w:rPr>
        <w:t>Адреси будівель, по яким виконувався перерахунок фактичного енергоспоживання</w:t>
      </w:r>
      <w:bookmarkEnd w:id="165"/>
      <w:bookmarkEnd w:id="166"/>
    </w:p>
    <w:tbl>
      <w:tblPr>
        <w:tblStyle w:val="GridTable5DarkAccent3"/>
        <w:tblW w:w="9634" w:type="dxa"/>
        <w:shd w:val="clear" w:color="auto" w:fill="EDEDED"/>
        <w:tblLayout w:type="fixed"/>
        <w:tblLook w:val="0420" w:firstRow="1" w:lastRow="0" w:firstColumn="0" w:lastColumn="0" w:noHBand="0" w:noVBand="1"/>
      </w:tblPr>
      <w:tblGrid>
        <w:gridCol w:w="606"/>
        <w:gridCol w:w="5768"/>
        <w:gridCol w:w="3260"/>
      </w:tblGrid>
      <w:tr w:rsidR="00275E65" w:rsidTr="00275E65">
        <w:trPr>
          <w:cnfStyle w:val="100000000000" w:firstRow="1" w:lastRow="0" w:firstColumn="0" w:lastColumn="0" w:oddVBand="0" w:evenVBand="0" w:oddHBand="0" w:evenHBand="0" w:firstRowFirstColumn="0" w:firstRowLastColumn="0" w:lastRowFirstColumn="0" w:lastRowLastColumn="0"/>
          <w:trHeight w:val="297"/>
        </w:trPr>
        <w:tc>
          <w:tcPr>
            <w:tcW w:w="606" w:type="dxa"/>
            <w:tcBorders>
              <w:bottom w:val="none" w:sz="4" w:space="0" w:color="000000"/>
            </w:tcBorders>
          </w:tcPr>
          <w:p w:rsidR="00275E65" w:rsidRDefault="00902217">
            <w:pPr>
              <w:pStyle w:val="Artblin"/>
              <w:tabs>
                <w:tab w:val="left" w:pos="709"/>
              </w:tabs>
              <w:spacing w:line="276" w:lineRule="auto"/>
              <w:ind w:left="-571" w:firstLine="567"/>
              <w:rPr>
                <w:rFonts w:ascii="Times New Roman" w:hAnsi="Times New Roman" w:cs="Times New Roman"/>
                <w:sz w:val="22"/>
              </w:rPr>
            </w:pPr>
            <w:r>
              <w:rPr>
                <w:rFonts w:ascii="Times New Roman" w:hAnsi="Times New Roman" w:cs="Times New Roman"/>
                <w:sz w:val="22"/>
              </w:rPr>
              <w:t>п/п</w:t>
            </w:r>
          </w:p>
        </w:tc>
        <w:tc>
          <w:tcPr>
            <w:tcW w:w="5768" w:type="dxa"/>
            <w:tcBorders>
              <w:bottom w:val="none" w:sz="4" w:space="0" w:color="000000"/>
            </w:tcBorders>
          </w:tcPr>
          <w:p w:rsidR="00275E65" w:rsidRDefault="00902217">
            <w:pPr>
              <w:pStyle w:val="Artblin"/>
              <w:tabs>
                <w:tab w:val="left" w:pos="709"/>
              </w:tabs>
              <w:spacing w:line="276" w:lineRule="auto"/>
              <w:ind w:hanging="10"/>
              <w:rPr>
                <w:rFonts w:ascii="Times New Roman" w:hAnsi="Times New Roman" w:cs="Times New Roman"/>
                <w:sz w:val="22"/>
              </w:rPr>
            </w:pPr>
            <w:r>
              <w:rPr>
                <w:rFonts w:ascii="Times New Roman" w:hAnsi="Times New Roman" w:cs="Times New Roman"/>
                <w:sz w:val="22"/>
              </w:rPr>
              <w:t>Адреса</w:t>
            </w:r>
          </w:p>
        </w:tc>
        <w:tc>
          <w:tcPr>
            <w:tcW w:w="3260" w:type="dxa"/>
            <w:tcBorders>
              <w:bottom w:val="none" w:sz="4" w:space="0" w:color="000000"/>
            </w:tcBorders>
          </w:tcPr>
          <w:p w:rsidR="00275E65" w:rsidRDefault="00902217">
            <w:pPr>
              <w:pStyle w:val="Artblin"/>
              <w:tabs>
                <w:tab w:val="left" w:pos="709"/>
              </w:tabs>
              <w:spacing w:line="276" w:lineRule="auto"/>
              <w:ind w:hanging="10"/>
              <w:rPr>
                <w:rFonts w:ascii="Times New Roman" w:hAnsi="Times New Roman" w:cs="Times New Roman"/>
                <w:sz w:val="22"/>
              </w:rPr>
            </w:pPr>
            <w:r>
              <w:rPr>
                <w:rFonts w:ascii="Times New Roman" w:hAnsi="Times New Roman" w:cs="Times New Roman"/>
                <w:sz w:val="22"/>
              </w:rPr>
              <w:t>Питоме енергоспоживання за даними, кВт*год/м ³</w:t>
            </w:r>
          </w:p>
        </w:tc>
      </w:tr>
      <w:tr w:rsidR="00275E65" w:rsidTr="00275E65">
        <w:trPr>
          <w:cnfStyle w:val="000000100000" w:firstRow="0" w:lastRow="0" w:firstColumn="0" w:lastColumn="0" w:oddVBand="0" w:evenVBand="0" w:oddHBand="1" w:evenHBand="0" w:firstRowFirstColumn="0" w:firstRowLastColumn="0" w:lastRowFirstColumn="0" w:lastRowLastColumn="0"/>
          <w:trHeight w:val="297"/>
        </w:trPr>
        <w:tc>
          <w:tcPr>
            <w:tcW w:w="606" w:type="dxa"/>
            <w:vAlign w:val="bottom"/>
          </w:tcPr>
          <w:p w:rsidR="00275E65" w:rsidRDefault="00902217">
            <w:pPr>
              <w:pStyle w:val="Artblin"/>
              <w:tabs>
                <w:tab w:val="left" w:pos="709"/>
              </w:tabs>
              <w:spacing w:line="276" w:lineRule="auto"/>
              <w:ind w:left="-539" w:firstLine="567"/>
              <w:rPr>
                <w:rFonts w:ascii="Times New Roman" w:hAnsi="Times New Roman" w:cs="Times New Roman"/>
                <w:sz w:val="22"/>
              </w:rPr>
            </w:pPr>
            <w:r>
              <w:rPr>
                <w:rFonts w:ascii="Times New Roman" w:hAnsi="Times New Roman" w:cs="Times New Roman"/>
                <w:sz w:val="22"/>
              </w:rPr>
              <w:t>2.9</w:t>
            </w:r>
          </w:p>
        </w:tc>
        <w:tc>
          <w:tcPr>
            <w:tcW w:w="5768" w:type="dxa"/>
            <w:vAlign w:val="bottom"/>
          </w:tcPr>
          <w:p w:rsidR="00275E65" w:rsidRDefault="00902217">
            <w:pPr>
              <w:pStyle w:val="Artblin"/>
              <w:tabs>
                <w:tab w:val="left" w:pos="709"/>
              </w:tabs>
              <w:spacing w:line="276" w:lineRule="auto"/>
              <w:ind w:hanging="10"/>
              <w:rPr>
                <w:rFonts w:ascii="Times New Roman" w:hAnsi="Times New Roman" w:cs="Times New Roman"/>
                <w:sz w:val="22"/>
              </w:rPr>
            </w:pPr>
            <w:r>
              <w:rPr>
                <w:rFonts w:ascii="Times New Roman" w:hAnsi="Times New Roman" w:cs="Times New Roman"/>
                <w:sz w:val="22"/>
              </w:rPr>
              <w:t>Держанівська гімназія с. Держанівка, вул Лесі Українки, 15</w:t>
            </w:r>
          </w:p>
        </w:tc>
        <w:tc>
          <w:tcPr>
            <w:tcW w:w="3260" w:type="dxa"/>
            <w:vAlign w:val="bottom"/>
          </w:tcPr>
          <w:p w:rsidR="00275E65" w:rsidRDefault="00902217">
            <w:pPr>
              <w:pStyle w:val="Artblin"/>
              <w:tabs>
                <w:tab w:val="left" w:pos="709"/>
              </w:tabs>
              <w:spacing w:line="276" w:lineRule="auto"/>
              <w:ind w:hanging="10"/>
              <w:rPr>
                <w:rFonts w:ascii="Times New Roman" w:hAnsi="Times New Roman" w:cs="Times New Roman"/>
                <w:sz w:val="22"/>
              </w:rPr>
            </w:pPr>
            <w:r>
              <w:rPr>
                <w:rFonts w:ascii="Times New Roman" w:hAnsi="Times New Roman" w:cs="Times New Roman"/>
                <w:sz w:val="22"/>
              </w:rPr>
              <w:t>29,3*</w:t>
            </w:r>
          </w:p>
        </w:tc>
      </w:tr>
    </w:tbl>
    <w:p w:rsidR="00275E65" w:rsidRDefault="00902217">
      <w:pPr>
        <w:pStyle w:val="Arheadersfooters"/>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 фактичне споживання не відображає клас енергоефективності будівлі, оскільки будівля працювала лише декілька місяців на початку 2022 року. Пізніше освітній заклад було зачинено у зв’язку із відсутністю укриття в школі. Тому це будівля буде присутня в ен</w:t>
      </w:r>
      <w:r>
        <w:rPr>
          <w:rFonts w:ascii="Times New Roman" w:eastAsiaTheme="minorEastAsia" w:hAnsi="Times New Roman" w:cstheme="minorHAnsi"/>
          <w:sz w:val="22"/>
        </w:rPr>
        <w:t>ергетичному балансі громади, однак значення її споживання буде кореговано (збільшено) відповідно роботі закладу впродовж усього року.</w:t>
      </w: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ord"/>
        <w:tabs>
          <w:tab w:val="left" w:pos="709"/>
        </w:tabs>
        <w:spacing w:after="0" w:line="276" w:lineRule="auto"/>
        <w:ind w:firstLine="567"/>
        <w:rPr>
          <w:rFonts w:ascii="Times New Roman" w:hAnsi="Times New Roman" w:cs="Times New Roman"/>
          <w:b/>
          <w:bCs/>
          <w:sz w:val="22"/>
        </w:rPr>
      </w:pPr>
      <w:r>
        <w:rPr>
          <w:rFonts w:ascii="Times New Roman" w:eastAsiaTheme="minorEastAsia" w:hAnsi="Times New Roman" w:cstheme="minorHAnsi"/>
          <w:b/>
          <w:bCs/>
          <w:sz w:val="22"/>
        </w:rPr>
        <w:t>Порівняння базового та фактичного питомого енергоспоживання будівель.</w:t>
      </w:r>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40" cy="2880000"/>
            <wp:effectExtent l="0" t="0" r="10160" b="15875"/>
            <wp:docPr id="51" name="Діагра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67" w:name="_Toc168064889"/>
      <w:r>
        <w:rPr>
          <w:rFonts w:ascii="Times New Roman" w:eastAsiaTheme="minorEastAsia" w:hAnsi="Times New Roman" w:cstheme="minorHAnsi"/>
          <w:sz w:val="22"/>
        </w:rPr>
        <w:t>Порівняння питомого фактичного та базового енергоспоживання на опалення закладів дошкільної освіти.</w:t>
      </w:r>
      <w:bookmarkEnd w:id="167"/>
    </w:p>
    <w:p w:rsidR="00275E65" w:rsidRDefault="00902217">
      <w:pPr>
        <w:pStyle w:val="Arord"/>
        <w:tabs>
          <w:tab w:val="left" w:pos="709"/>
        </w:tabs>
        <w:spacing w:after="0" w:line="276" w:lineRule="auto"/>
        <w:ind w:firstLine="567"/>
        <w:jc w:val="center"/>
        <w:rPr>
          <w:rFonts w:ascii="Times New Roman" w:hAnsi="Times New Roman" w:cs="Times New Roman"/>
          <w:sz w:val="22"/>
        </w:rPr>
      </w:pPr>
      <w:r>
        <w:rPr>
          <w:rFonts w:ascii="Times New Roman" w:eastAsiaTheme="minorEastAsia" w:hAnsi="Times New Roman" w:cstheme="minorHAnsi"/>
          <w:noProof/>
          <w:sz w:val="22"/>
          <w:lang w:val="ru-RU" w:eastAsia="ru-RU"/>
        </w:rPr>
        <w:drawing>
          <wp:inline distT="0" distB="0" distL="0" distR="0">
            <wp:extent cx="5400040" cy="2880000"/>
            <wp:effectExtent l="0" t="0" r="10160" b="15875"/>
            <wp:docPr id="52" name="Діагра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5E65" w:rsidRDefault="00902217">
      <w:pPr>
        <w:pStyle w:val="ArPic"/>
        <w:tabs>
          <w:tab w:val="left" w:pos="709"/>
        </w:tabs>
        <w:spacing w:after="0" w:line="276" w:lineRule="auto"/>
        <w:ind w:left="0" w:firstLine="567"/>
        <w:rPr>
          <w:rFonts w:ascii="Times New Roman" w:hAnsi="Times New Roman" w:cs="Times New Roman"/>
          <w:sz w:val="22"/>
        </w:rPr>
      </w:pPr>
      <w:bookmarkStart w:id="168" w:name="_Toc168064890"/>
      <w:r>
        <w:rPr>
          <w:rFonts w:ascii="Times New Roman" w:eastAsiaTheme="minorEastAsia" w:hAnsi="Times New Roman" w:cstheme="minorHAnsi"/>
          <w:sz w:val="22"/>
        </w:rPr>
        <w:t>Порівняння питомого фактичного та базового енергоспоживання на опалення закладів освіти.</w:t>
      </w:r>
      <w:bookmarkEnd w:id="168"/>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Фактичне енергоспоживання на опалення частини бюджетних будівель </w:t>
      </w:r>
      <w:r>
        <w:rPr>
          <w:rFonts w:ascii="Times New Roman" w:eastAsiaTheme="minorEastAsia" w:hAnsi="Times New Roman" w:cstheme="minorHAnsi"/>
          <w:sz w:val="22"/>
        </w:rPr>
        <w:t>не відповідає дійсним потребам у забезпеченні цих будівель тепловою енергією на рік. Їх фактичне енергоспоживання нижче Базового з декількох причин:</w:t>
      </w:r>
    </w:p>
    <w:p w:rsidR="00275E65" w:rsidRDefault="00902217">
      <w:pPr>
        <w:pStyle w:val="Arord"/>
        <w:numPr>
          <w:ilvl w:val="0"/>
          <w:numId w:val="6"/>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частина будівель не працювала або обмежено працювала в 2022 році. Так, Сулацька та Держанівська гімназії не</w:t>
      </w:r>
      <w:r>
        <w:rPr>
          <w:rFonts w:ascii="Times New Roman" w:eastAsiaTheme="minorEastAsia" w:hAnsi="Times New Roman" w:cstheme="minorHAnsi"/>
          <w:sz w:val="22"/>
        </w:rPr>
        <w:t xml:space="preserve"> працювали з початку військової агресії в 2022 році, бо обидва заклади не мають укриттів. Однак, потреба в цих закладах в мирні часи для громади є актуальною та важливою. Тому в Базовому енергоспоживанні громади ми враховуємо їх повноцінне функціонування т</w:t>
      </w:r>
      <w:r>
        <w:rPr>
          <w:rFonts w:ascii="Times New Roman" w:eastAsiaTheme="minorEastAsia" w:hAnsi="Times New Roman" w:cstheme="minorHAnsi"/>
          <w:sz w:val="22"/>
        </w:rPr>
        <w:t>а теплопостачання;</w:t>
      </w:r>
    </w:p>
    <w:p w:rsidR="00275E65" w:rsidRDefault="00902217">
      <w:pPr>
        <w:pStyle w:val="Arord"/>
        <w:numPr>
          <w:ilvl w:val="0"/>
          <w:numId w:val="6"/>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частина будівель освітніх закладів та будівель міської лікарні в 2022 році працювали із значним порушенням температурних режимів. В Базовому енергоспоживанні прийнято їх розрахункове енергоспоживання на опалення з дотриманням нормативних</w:t>
      </w:r>
      <w:r>
        <w:rPr>
          <w:rFonts w:ascii="Times New Roman" w:eastAsiaTheme="minorEastAsia" w:hAnsi="Times New Roman" w:cstheme="minorHAnsi"/>
          <w:sz w:val="22"/>
        </w:rPr>
        <w:t xml:space="preserve"> внутрішніх температур.</w:t>
      </w: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Head2"/>
        <w:tabs>
          <w:tab w:val="left" w:pos="709"/>
        </w:tabs>
        <w:spacing w:after="0" w:line="276" w:lineRule="auto"/>
        <w:ind w:firstLine="567"/>
        <w:rPr>
          <w:rFonts w:ascii="Times New Roman" w:hAnsi="Times New Roman" w:cs="Times New Roman"/>
          <w:sz w:val="22"/>
          <w:lang w:val="ru-RU"/>
        </w:rPr>
      </w:pPr>
      <w:bookmarkStart w:id="169" w:name="_Toc168064812"/>
      <w:r>
        <w:rPr>
          <w:rFonts w:ascii="Times New Roman" w:eastAsiaTheme="minorEastAsia" w:hAnsi="Times New Roman" w:cstheme="minorHAnsi"/>
          <w:sz w:val="22"/>
        </w:rPr>
        <w:t>SWOT-аналізу (оцінки сильних сторін, слабких сторін, можливостей і загроз) енергетичного розвитку територіальної громади та аналізу обмежень для сталого енергетичного розвитку територіальної громади</w:t>
      </w:r>
      <w:bookmarkEnd w:id="169"/>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SWOT</w:t>
      </w:r>
      <w:r>
        <w:rPr>
          <w:rFonts w:ascii="Times New Roman" w:eastAsiaTheme="minorEastAsia" w:hAnsi="Times New Roman" w:cstheme="minorHAnsi"/>
          <w:sz w:val="22"/>
          <w:lang w:val="ru-RU"/>
        </w:rPr>
        <w:t>-</w:t>
      </w:r>
      <w:r>
        <w:rPr>
          <w:rFonts w:ascii="Times New Roman" w:eastAsiaTheme="minorEastAsia" w:hAnsi="Times New Roman" w:cstheme="minorHAnsi"/>
          <w:sz w:val="22"/>
        </w:rPr>
        <w:t xml:space="preserve">аналіз був проведений з урахуванням відповідного аналізу затвердженого у Стратегії розвитку громади. Під час розробки аналізу також було враховано досвід оточення російськими окупантами та проходження опалювального сезону в умовах оточення загарбниками та </w:t>
      </w:r>
      <w:r>
        <w:rPr>
          <w:rFonts w:ascii="Times New Roman" w:eastAsiaTheme="minorEastAsia" w:hAnsi="Times New Roman" w:cstheme="minorHAnsi"/>
          <w:sz w:val="22"/>
        </w:rPr>
        <w:t>відповідно ризиків які це несе.</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 xml:space="preserve">Після збору та внесення даних у таблицю відбувається аналіз ситуації (саме тому SWOT-аналіз ще називають ситуативним аналізом) та її врахування  при розробці відповідних цілей, проектів, та рішень. </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Можна застосовувати резул</w:t>
      </w:r>
      <w:r>
        <w:rPr>
          <w:rFonts w:ascii="Times New Roman" w:eastAsiaTheme="minorEastAsia" w:hAnsi="Times New Roman" w:cstheme="minorHAnsi"/>
          <w:sz w:val="22"/>
        </w:rPr>
        <w:t>ьтати аналізу та розробляти стратегічні рішення відповідно до наступних груп:</w:t>
      </w:r>
    </w:p>
    <w:p w:rsidR="00275E65" w:rsidRDefault="00902217">
      <w:pPr>
        <w:pStyle w:val="Arord"/>
        <w:numPr>
          <w:ilvl w:val="0"/>
          <w:numId w:val="7"/>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rPr>
        <w:t>S-O (сильні сторони та можливості) - лінія сили. Відповідно можна опрацювати варіанти, рішення, які ще більше посилять позицію компанії, продукту тощо</w:t>
      </w:r>
    </w:p>
    <w:p w:rsidR="00275E65" w:rsidRDefault="00902217">
      <w:pPr>
        <w:pStyle w:val="Arord"/>
        <w:numPr>
          <w:ilvl w:val="0"/>
          <w:numId w:val="7"/>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W-O (слабкі сторони і можли</w:t>
      </w:r>
      <w:r>
        <w:rPr>
          <w:rFonts w:ascii="Times New Roman" w:eastAsiaTheme="minorEastAsia" w:hAnsi="Times New Roman" w:cstheme="minorHAnsi"/>
          <w:sz w:val="22"/>
        </w:rPr>
        <w:t>вості) – лінія поліпшення. Має на увазі опрацювання рішень, що використовують можливості, щоб усунути або пом'якшити недоліки (слабкі сторони)</w:t>
      </w:r>
    </w:p>
    <w:p w:rsidR="00275E65" w:rsidRDefault="00902217">
      <w:pPr>
        <w:pStyle w:val="Arord"/>
        <w:numPr>
          <w:ilvl w:val="0"/>
          <w:numId w:val="7"/>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S-T (сильні сторони і загрози) – лінія захисту. Це робота над варіантами того, як переваги (сильні сторони) можут</w:t>
      </w:r>
      <w:r>
        <w:rPr>
          <w:rFonts w:ascii="Times New Roman" w:eastAsiaTheme="minorEastAsia" w:hAnsi="Times New Roman" w:cstheme="minorHAnsi"/>
          <w:sz w:val="22"/>
        </w:rPr>
        <w:t>ь захистити від різноманітних зовнішніх загроз, ризиків і що необхідно зробити, щоб ще краще захиститися</w:t>
      </w:r>
    </w:p>
    <w:p w:rsidR="00275E65" w:rsidRDefault="00902217">
      <w:pPr>
        <w:pStyle w:val="Arord"/>
        <w:numPr>
          <w:ilvl w:val="0"/>
          <w:numId w:val="7"/>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W-T (слабкі сторони та загрози) – лінія попередження. У цьому блоці необхідно опрацювати план дій щодо усунення або мінімізації внутрішніх недоліків і зовнішніх ризиків</w:t>
      </w:r>
    </w:p>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SWOT</w:t>
      </w:r>
      <w:r>
        <w:rPr>
          <w:rFonts w:ascii="Times New Roman" w:eastAsiaTheme="minorEastAsia" w:hAnsi="Times New Roman" w:cstheme="minorHAnsi"/>
          <w:sz w:val="22"/>
          <w:lang w:val="ru-RU"/>
        </w:rPr>
        <w:t xml:space="preserve"> </w:t>
      </w:r>
      <w:r>
        <w:rPr>
          <w:rFonts w:ascii="Times New Roman" w:eastAsiaTheme="minorEastAsia" w:hAnsi="Times New Roman" w:cstheme="minorHAnsi"/>
          <w:sz w:val="22"/>
        </w:rPr>
        <w:t>аналіз Носівської громади представлено нижче</w:t>
      </w:r>
    </w:p>
    <w:p w:rsidR="00275E65" w:rsidRDefault="00902217">
      <w:pPr>
        <w:tabs>
          <w:tab w:val="left" w:pos="709"/>
        </w:tabs>
        <w:spacing w:after="0" w:line="276" w:lineRule="auto"/>
        <w:rPr>
          <w:rFonts w:ascii="Times New Roman" w:hAnsi="Times New Roman" w:cs="Times New Roman"/>
        </w:rPr>
      </w:pPr>
      <w:r>
        <w:rPr>
          <w:rFonts w:ascii="Times New Roman" w:eastAsiaTheme="minorEastAsia" w:hAnsi="Times New Roman" w:cstheme="minorHAnsi"/>
          <w:noProof/>
          <w:lang w:val="ru-RU" w:eastAsia="ru-RU"/>
        </w:rPr>
        <mc:AlternateContent>
          <mc:Choice Requires="wpg">
            <w:drawing>
              <wp:inline distT="0" distB="0" distL="0" distR="0">
                <wp:extent cx="5918200" cy="7518400"/>
                <wp:effectExtent l="19050" t="0" r="63500" b="25400"/>
                <wp:docPr id="53" name="Diagram45"/>
                <wp:cNvGraphicFramePr/>
                <a:graphic xmlns:a="http://schemas.openxmlformats.org/drawingml/2006/main">
                  <a:graphicData uri="http://schemas.microsoft.com/office/word/2010/wordprocessingGroup">
                    <wpg:wgp>
                      <wpg:cNvGrpSpPr/>
                      <wpg:grpSpPr bwMode="auto">
                        <a:xfrm>
                          <a:off x="0" y="0"/>
                          <a:ext cx="5918200" cy="7518400"/>
                          <a:chOff x="0" y="0"/>
                          <a:chExt cx="5918200" cy="7518400"/>
                        </a:xfrm>
                      </wpg:grpSpPr>
                      <wpg:grpSp>
                        <wpg:cNvPr id="1" name="Группа 1"/>
                        <wpg:cNvGrpSpPr/>
                        <wpg:grpSpPr bwMode="auto">
                          <a:xfrm>
                            <a:off x="-400049" y="400049"/>
                            <a:ext cx="3759200" cy="2959100"/>
                            <a:chOff x="0" y="0"/>
                            <a:chExt cx="3759200" cy="2959100"/>
                          </a:xfrm>
                        </wpg:grpSpPr>
                        <wps:wsp>
                          <wps:cNvPr id="2" name="Прямоугольник с одним скругленным углом 2"/>
                          <wps:cNvSpPr/>
                          <wps:spPr bwMode="auto">
                            <a:xfrm rot="16199998">
                              <a:off x="0" y="0"/>
                              <a:ext cx="3759200" cy="2959100"/>
                            </a:xfrm>
                            <a:prstGeom prst="round1Rect">
                              <a:avLst>
                                <a:gd name="adj" fmla="val 16667"/>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3" name="Прямоугольник 3"/>
                          <wps:cNvSpPr/>
                          <wps:spPr bwMode="auto">
                            <a:xfrm rot="21600000">
                              <a:off x="400048" y="-400048"/>
                              <a:ext cx="2959100" cy="2819400"/>
                            </a:xfrm>
                            <a:prstGeom prst="rect">
                              <a:avLst/>
                            </a:prstGeom>
                            <a:noFill/>
                            <a:ln>
                              <a:noFill/>
                            </a:ln>
                          </wps:spPr>
                          <wps:txbx>
                            <w:txbxContent>
                              <w:p w:rsidR="00275E65" w:rsidRDefault="00902217">
                                <w:r>
                                  <w:rPr>
                                    <w:rFonts w:eastAsiaTheme="minorEastAsia" w:cs="Times New Roman"/>
                                    <w:color w:val="FFFFFF"/>
                                    <w:sz w:val="20"/>
                                    <w:szCs w:val="20"/>
                                  </w:rPr>
                                  <w:t>Сильні сторони</w:t>
                                </w:r>
                              </w:p>
                              <w:p w:rsidR="00275E65" w:rsidRDefault="00902217">
                                <w:r>
                                  <w:rPr>
                                    <w:rFonts w:eastAsiaTheme="minorEastAsia" w:cs="Times New Roman"/>
                                    <w:color w:val="FFFFFF"/>
                                    <w:sz w:val="20"/>
                                    <w:szCs w:val="20"/>
                                  </w:rPr>
                                  <w:t>- Комунальне підпр</w:t>
                                </w:r>
                                <w:r>
                                  <w:rPr>
                                    <w:rFonts w:eastAsiaTheme="minorEastAsia" w:cs="Times New Roman"/>
                                    <w:color w:val="FFFFFF"/>
                                    <w:sz w:val="20"/>
                                    <w:szCs w:val="20"/>
                                  </w:rPr>
                                  <w:t>иємство «Носівські теплові мережі» яке надає послуги по теплопостачанню громадських будівель ( заклади освіти, культури, бюджетна сфера) виробляє теплову енергію 51% на газу та 49% на альтернативному паливі (дрова)</w:t>
                                </w:r>
                              </w:p>
                              <w:p w:rsidR="00275E65" w:rsidRDefault="00902217">
                                <w:r>
                                  <w:rPr>
                                    <w:rFonts w:eastAsiaTheme="minorEastAsia" w:cs="Times New Roman"/>
                                    <w:color w:val="FFFFFF"/>
                                    <w:sz w:val="20"/>
                                    <w:szCs w:val="20"/>
                                  </w:rPr>
                                  <w:t>- Мережею водопостачання охоплено 90% меш</w:t>
                                </w:r>
                                <w:r>
                                  <w:rPr>
                                    <w:rFonts w:eastAsiaTheme="minorEastAsia" w:cs="Times New Roman"/>
                                    <w:color w:val="FFFFFF"/>
                                    <w:sz w:val="20"/>
                                    <w:szCs w:val="20"/>
                                  </w:rPr>
                                  <w:t>канців міста, а водовідведення - 5%</w:t>
                                </w:r>
                              </w:p>
                              <w:p w:rsidR="00275E65" w:rsidRDefault="00902217">
                                <w:r>
                                  <w:rPr>
                                    <w:rFonts w:eastAsiaTheme="minorEastAsia" w:cs="Times New Roman"/>
                                    <w:color w:val="FFFFFF"/>
                                    <w:sz w:val="20"/>
                                    <w:szCs w:val="20"/>
                                  </w:rPr>
                                  <w:t>- Налагоджена система організованого вивозу твердих побутових відходів</w:t>
                                </w:r>
                              </w:p>
                              <w:p w:rsidR="00275E65" w:rsidRDefault="00902217">
                                <w:r>
                                  <w:rPr>
                                    <w:rFonts w:eastAsiaTheme="minorEastAsia" w:cs="Times New Roman"/>
                                    <w:color w:val="FFFFFF"/>
                                    <w:sz w:val="20"/>
                                    <w:szCs w:val="20"/>
                                  </w:rPr>
                                  <w:t>Немає великих забруднювачів довкілля</w:t>
                                </w:r>
                              </w:p>
                            </w:txbxContent>
                          </wps:txbx>
                          <wps:bodyPr spcFirstLastPara="0" vert="horz" wrap="square" lIns="71120" tIns="71120" rIns="71120" bIns="71120" numCol="1" spcCol="1270" anchor="ctr" anchorCtr="0">
                            <a:noAutofit/>
                          </wps:bodyPr>
                        </wps:wsp>
                      </wpg:grpSp>
                      <wpg:grpSp>
                        <wpg:cNvPr id="4" name="Группа 4"/>
                        <wpg:cNvGrpSpPr/>
                        <wpg:grpSpPr bwMode="auto">
                          <a:xfrm>
                            <a:off x="2959100" y="0"/>
                            <a:ext cx="2959100" cy="3759200"/>
                            <a:chOff x="0" y="0"/>
                            <a:chExt cx="2959100" cy="3759200"/>
                          </a:xfrm>
                        </wpg:grpSpPr>
                        <wps:wsp>
                          <wps:cNvPr id="54" name="Прямоугольник с одним скругленным углом 54"/>
                          <wps:cNvSpPr/>
                          <wps:spPr bwMode="auto">
                            <a:xfrm>
                              <a:off x="0" y="0"/>
                              <a:ext cx="2959100" cy="3759200"/>
                            </a:xfrm>
                            <a:prstGeom prst="round1Rect">
                              <a:avLst>
                                <a:gd name="adj" fmla="val 16667"/>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55" name="Прямоугольник 55"/>
                          <wps:cNvSpPr/>
                          <wps:spPr bwMode="auto">
                            <a:xfrm>
                              <a:off x="0" y="0"/>
                              <a:ext cx="2959100" cy="2819400"/>
                            </a:xfrm>
                            <a:prstGeom prst="rect">
                              <a:avLst/>
                            </a:prstGeom>
                            <a:noFill/>
                            <a:ln>
                              <a:noFill/>
                            </a:ln>
                          </wps:spPr>
                          <wps:txbx>
                            <w:txbxContent>
                              <w:p w:rsidR="00275E65" w:rsidRDefault="00275E65"/>
                              <w:p w:rsidR="00275E65" w:rsidRDefault="00275E65"/>
                              <w:p w:rsidR="00275E65" w:rsidRDefault="00902217">
                                <w:r>
                                  <w:rPr>
                                    <w:rFonts w:eastAsiaTheme="minorEastAsia" w:cs="Times New Roman"/>
                                    <w:color w:val="FFFFFF"/>
                                    <w:sz w:val="20"/>
                                    <w:szCs w:val="20"/>
                                  </w:rPr>
                                  <w:t>Слабкі сторони</w:t>
                                </w:r>
                              </w:p>
                              <w:p w:rsidR="00275E65" w:rsidRDefault="00902217">
                                <w:r>
                                  <w:rPr>
                                    <w:rFonts w:eastAsiaTheme="minorEastAsia" w:cs="Times New Roman"/>
                                    <w:color w:val="FFFFFF"/>
                                    <w:sz w:val="20"/>
                                    <w:szCs w:val="20"/>
                                  </w:rPr>
                                  <w:t>- Відсутність до розробки та затвердження МЕП енергетичної політики громади</w:t>
                                </w:r>
                              </w:p>
                              <w:p w:rsidR="00275E65" w:rsidRDefault="00902217">
                                <w:r>
                                  <w:rPr>
                                    <w:rFonts w:eastAsiaTheme="minorEastAsia" w:cs="Times New Roman"/>
                                    <w:color w:val="FFFFFF"/>
                                    <w:sz w:val="20"/>
                                    <w:szCs w:val="20"/>
                                  </w:rPr>
                                  <w:t xml:space="preserve">- Значно зношена </w:t>
                                </w:r>
                                <w:r>
                                  <w:rPr>
                                    <w:rFonts w:eastAsiaTheme="minorEastAsia" w:cs="Times New Roman"/>
                                    <w:color w:val="FFFFFF"/>
                                    <w:sz w:val="20"/>
                                    <w:szCs w:val="20"/>
                                  </w:rPr>
                                  <w:t>інженерна інфраструктура, часті аварійні ситуації</w:t>
                                </w:r>
                              </w:p>
                              <w:p w:rsidR="00275E65" w:rsidRDefault="00902217">
                                <w:r>
                                  <w:rPr>
                                    <w:rFonts w:eastAsiaTheme="minorEastAsia" w:cs="Times New Roman"/>
                                    <w:color w:val="FFFFFF"/>
                                    <w:sz w:val="20"/>
                                    <w:szCs w:val="20"/>
                                  </w:rPr>
                                  <w:t>- недостатній рівень обізнаності мешканців громади з використання відновлювальних джерел енергії</w:t>
                                </w:r>
                              </w:p>
                              <w:p w:rsidR="00275E65" w:rsidRDefault="00902217">
                                <w:r>
                                  <w:rPr>
                                    <w:rFonts w:eastAsiaTheme="minorEastAsia" w:cs="Times New Roman"/>
                                    <w:color w:val="FFFFFF"/>
                                    <w:sz w:val="20"/>
                                    <w:szCs w:val="20"/>
                                  </w:rPr>
                                  <w:t>- Обмеженість фінансових можливостей бюджетів та нестача фінансових ресурсів комунальних підприємств для впро</w:t>
                                </w:r>
                                <w:r>
                                  <w:rPr>
                                    <w:rFonts w:eastAsiaTheme="minorEastAsia" w:cs="Times New Roman"/>
                                    <w:color w:val="FFFFFF"/>
                                    <w:sz w:val="20"/>
                                    <w:szCs w:val="20"/>
                                  </w:rPr>
                                  <w:t>вадження енергоефективних проєктів</w:t>
                                </w:r>
                              </w:p>
                              <w:p w:rsidR="00275E65" w:rsidRDefault="00902217">
                                <w:r>
                                  <w:rPr>
                                    <w:rFonts w:eastAsiaTheme="minorEastAsia" w:cs="Times New Roman"/>
                                    <w:color w:val="FFFFFF"/>
                                    <w:sz w:val="20"/>
                                    <w:szCs w:val="20"/>
                                  </w:rPr>
                                  <w:t>- Відсутність конкуренції в сфері енергопостачання- Відсутність налагодженої системи енергоменеджменту- Недосконала державна політика щодо енергетичного кредитування</w:t>
                                </w:r>
                              </w:p>
                              <w:p w:rsidR="00275E65" w:rsidRDefault="00902217">
                                <w:r>
                                  <w:rPr>
                                    <w:rFonts w:eastAsiaTheme="minorEastAsia" w:cs="Times New Roman"/>
                                    <w:color w:val="FFFFFF"/>
                                    <w:sz w:val="20"/>
                                    <w:szCs w:val="20"/>
                                  </w:rPr>
                                  <w:t>- Низький вплив місцевого самоврядування на приватний с</w:t>
                                </w:r>
                                <w:r>
                                  <w:rPr>
                                    <w:rFonts w:eastAsiaTheme="minorEastAsia" w:cs="Times New Roman"/>
                                    <w:color w:val="FFFFFF"/>
                                    <w:sz w:val="20"/>
                                    <w:szCs w:val="20"/>
                                  </w:rPr>
                                  <w:t>ектор</w:t>
                                </w:r>
                              </w:p>
                            </w:txbxContent>
                          </wps:txbx>
                          <wps:bodyPr spcFirstLastPara="0" vert="horz" wrap="square" lIns="71120" tIns="71120" rIns="71120" bIns="71120" numCol="1" spcCol="1270" anchor="ctr" anchorCtr="0">
                            <a:noAutofit/>
                          </wps:bodyPr>
                        </wps:wsp>
                      </wpg:grpSp>
                      <wpg:grpSp>
                        <wpg:cNvPr id="56" name="Группа 56"/>
                        <wpg:cNvGrpSpPr/>
                        <wpg:grpSpPr bwMode="auto">
                          <a:xfrm>
                            <a:off x="0" y="3759200"/>
                            <a:ext cx="2959100" cy="3759200"/>
                            <a:chOff x="0" y="0"/>
                            <a:chExt cx="2959100" cy="3759200"/>
                          </a:xfrm>
                        </wpg:grpSpPr>
                        <wps:wsp>
                          <wps:cNvPr id="57" name="Прямоугольник с одним скругленным углом 57"/>
                          <wps:cNvSpPr/>
                          <wps:spPr bwMode="auto">
                            <a:xfrm rot="10800000">
                              <a:off x="0" y="0"/>
                              <a:ext cx="2959100" cy="3759200"/>
                            </a:xfrm>
                            <a:prstGeom prst="round1Rect">
                              <a:avLst>
                                <a:gd name="adj" fmla="val 16667"/>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58" name="Прямоугольник 58"/>
                          <wps:cNvSpPr/>
                          <wps:spPr bwMode="auto">
                            <a:xfrm rot="21600000">
                              <a:off x="0" y="939800"/>
                              <a:ext cx="2959100" cy="2819400"/>
                            </a:xfrm>
                            <a:prstGeom prst="rect">
                              <a:avLst/>
                            </a:prstGeom>
                            <a:noFill/>
                            <a:ln>
                              <a:noFill/>
                            </a:ln>
                          </wps:spPr>
                          <wps:txbx>
                            <w:txbxContent>
                              <w:p w:rsidR="00275E65" w:rsidRDefault="00902217">
                                <w:r>
                                  <w:rPr>
                                    <w:rFonts w:eastAsiaTheme="minorEastAsia" w:cs="Times New Roman"/>
                                    <w:color w:val="FFFFFF"/>
                                    <w:sz w:val="20"/>
                                    <w:szCs w:val="20"/>
                                  </w:rPr>
                                  <w:t>Можливості</w:t>
                                </w:r>
                              </w:p>
                              <w:p w:rsidR="00275E65" w:rsidRDefault="00902217">
                                <w:r>
                                  <w:rPr>
                                    <w:rFonts w:eastAsiaTheme="minorEastAsia" w:cs="Times New Roman"/>
                                    <w:color w:val="FFFFFF"/>
                                    <w:sz w:val="20"/>
                                    <w:szCs w:val="20"/>
                                  </w:rPr>
                                  <w:t>- У наявності 54.8848 га землі промислової зони придатної для реалізації інвестиційних проектів</w:t>
                                </w:r>
                              </w:p>
                              <w:p w:rsidR="00275E65" w:rsidRDefault="00902217">
                                <w:r>
                                  <w:rPr>
                                    <w:rFonts w:eastAsiaTheme="minorEastAsia" w:cs="Times New Roman"/>
                                    <w:color w:val="FFFFFF"/>
                                    <w:sz w:val="20"/>
                                    <w:szCs w:val="20"/>
                                  </w:rPr>
                                  <w:t xml:space="preserve">- Високий потенціал енергозбереження та впровадження альтернативних джерел енергії </w:t>
                                </w:r>
                              </w:p>
                              <w:p w:rsidR="00275E65" w:rsidRDefault="00902217">
                                <w:r>
                                  <w:rPr>
                                    <w:rFonts w:eastAsiaTheme="minorEastAsia" w:cs="Times New Roman"/>
                                    <w:color w:val="FFFFFF"/>
                                    <w:sz w:val="20"/>
                                    <w:szCs w:val="20"/>
                                  </w:rPr>
                                  <w:t>- На території громади наявні   ділянки землі до 10 га, які можна використати для заходів енергоефективності</w:t>
                                </w:r>
                              </w:p>
                              <w:p w:rsidR="00275E65" w:rsidRDefault="00902217">
                                <w:r>
                                  <w:rPr>
                                    <w:rFonts w:eastAsiaTheme="minorEastAsia" w:cs="Times New Roman"/>
                                    <w:color w:val="FFFFFF"/>
                                    <w:sz w:val="20"/>
                                    <w:szCs w:val="20"/>
                                  </w:rPr>
                                  <w:t xml:space="preserve">- Міжнародна підтримка </w:t>
                                </w:r>
                              </w:p>
                              <w:p w:rsidR="00275E65" w:rsidRDefault="00902217">
                                <w:r>
                                  <w:rPr>
                                    <w:rFonts w:eastAsiaTheme="minorEastAsia" w:cs="Times New Roman"/>
                                    <w:color w:val="FFFFFF"/>
                                    <w:sz w:val="20"/>
                                    <w:szCs w:val="20"/>
                                  </w:rPr>
                                  <w:t>- Значні лісові ресурси (17% площ), наявні малі ріки (Носівочка, Новий Потік, Остер), ставки, місцеві корисні копалини</w:t>
                                </w:r>
                              </w:p>
                            </w:txbxContent>
                          </wps:txbx>
                          <wps:bodyPr spcFirstLastPara="0" vert="horz" wrap="square" lIns="71120" tIns="71120" rIns="71120" bIns="71120" numCol="1" spcCol="1270" anchor="ctr" anchorCtr="0">
                            <a:noAutofit/>
                          </wps:bodyPr>
                        </wps:wsp>
                      </wpg:grpSp>
                      <wpg:grpSp>
                        <wpg:cNvPr id="59" name="Группа 59"/>
                        <wpg:cNvGrpSpPr/>
                        <wpg:grpSpPr bwMode="auto">
                          <a:xfrm>
                            <a:off x="2559050" y="4159250"/>
                            <a:ext cx="3759200" cy="2959100"/>
                            <a:chOff x="0" y="0"/>
                            <a:chExt cx="3759200" cy="2959100"/>
                          </a:xfrm>
                        </wpg:grpSpPr>
                        <wps:wsp>
                          <wps:cNvPr id="60" name="Прямоугольник с одним скругленным углом 60"/>
                          <wps:cNvSpPr/>
                          <wps:spPr bwMode="auto">
                            <a:xfrm rot="5400000">
                              <a:off x="0" y="0"/>
                              <a:ext cx="3759200" cy="2959100"/>
                            </a:xfrm>
                            <a:prstGeom prst="round1Rect">
                              <a:avLst>
                                <a:gd name="adj" fmla="val 16667"/>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61" name="Прямоугольник 61"/>
                          <wps:cNvSpPr/>
                          <wps:spPr bwMode="auto">
                            <a:xfrm>
                              <a:off x="400049" y="539749"/>
                              <a:ext cx="2959100" cy="2819400"/>
                            </a:xfrm>
                            <a:prstGeom prst="rect">
                              <a:avLst/>
                            </a:prstGeom>
                            <a:noFill/>
                            <a:ln>
                              <a:noFill/>
                            </a:ln>
                          </wps:spPr>
                          <wps:txbx>
                            <w:txbxContent>
                              <w:p w:rsidR="00275E65" w:rsidRDefault="00902217">
                                <w:r>
                                  <w:rPr>
                                    <w:rFonts w:eastAsiaTheme="minorEastAsia" w:cs="Times New Roman"/>
                                    <w:color w:val="FFFFFF"/>
                                    <w:sz w:val="20"/>
                                    <w:szCs w:val="20"/>
                                  </w:rPr>
                                  <w:t>За</w:t>
                                </w:r>
                                <w:r>
                                  <w:rPr>
                                    <w:rFonts w:eastAsiaTheme="minorEastAsia" w:cs="Times New Roman"/>
                                    <w:color w:val="FFFFFF"/>
                                    <w:sz w:val="20"/>
                                    <w:szCs w:val="20"/>
                                  </w:rPr>
                                  <w:t>грози</w:t>
                                </w:r>
                              </w:p>
                              <w:p w:rsidR="00275E65" w:rsidRDefault="00902217">
                                <w:r>
                                  <w:rPr>
                                    <w:rFonts w:eastAsiaTheme="minorEastAsia" w:cs="Times New Roman"/>
                                    <w:color w:val="FFFFFF"/>
                                    <w:sz w:val="20"/>
                                    <w:szCs w:val="20"/>
                                  </w:rPr>
                                  <w:t>- Війна і небезпека яку вона несе</w:t>
                                </w:r>
                              </w:p>
                              <w:p w:rsidR="00275E65" w:rsidRDefault="00902217">
                                <w:r>
                                  <w:rPr>
                                    <w:rFonts w:eastAsiaTheme="minorEastAsia" w:cs="Times New Roman"/>
                                    <w:color w:val="FFFFFF"/>
                                    <w:sz w:val="20"/>
                                    <w:szCs w:val="20"/>
                                  </w:rPr>
                                  <w:t>- Політична нестабільність</w:t>
                                </w:r>
                              </w:p>
                              <w:p w:rsidR="00275E65" w:rsidRDefault="00902217">
                                <w:r>
                                  <w:rPr>
                                    <w:rFonts w:eastAsiaTheme="minorEastAsia" w:cs="Times New Roman"/>
                                    <w:color w:val="FFFFFF"/>
                                    <w:sz w:val="20"/>
                                    <w:szCs w:val="20"/>
                                  </w:rPr>
                                  <w:t>- Недосконала тарифна політика</w:t>
                                </w:r>
                              </w:p>
                              <w:p w:rsidR="00275E65" w:rsidRDefault="00902217">
                                <w:r>
                                  <w:rPr>
                                    <w:rFonts w:eastAsiaTheme="minorEastAsia" w:cs="Times New Roman"/>
                                    <w:color w:val="FFFFFF"/>
                                    <w:sz w:val="20"/>
                                    <w:szCs w:val="20"/>
                                  </w:rPr>
                                  <w:t>- Рівень фінансової спроможності мешканців, бюджету громади для фінансування бюджетних установ</w:t>
                                </w:r>
                              </w:p>
                              <w:p w:rsidR="00275E65" w:rsidRDefault="00902217">
                                <w:r>
                                  <w:rPr>
                                    <w:rFonts w:eastAsiaTheme="minorEastAsia" w:cs="Times New Roman"/>
                                    <w:color w:val="FFFFFF"/>
                                    <w:sz w:val="20"/>
                                    <w:szCs w:val="20"/>
                                  </w:rPr>
                                  <w:t>- Високий рівень інфляційних процесів </w:t>
                                </w:r>
                              </w:p>
                              <w:p w:rsidR="00275E65" w:rsidRDefault="00902217">
                                <w:r>
                                  <w:rPr>
                                    <w:rFonts w:eastAsiaTheme="minorEastAsia" w:cs="Times New Roman"/>
                                    <w:color w:val="FFFFFF"/>
                                    <w:sz w:val="20"/>
                                    <w:szCs w:val="20"/>
                                  </w:rPr>
                                  <w:t>- Залежність від зовнішнього фінансуванн</w:t>
                                </w:r>
                              </w:p>
                              <w:p w:rsidR="00275E65" w:rsidRDefault="00902217">
                                <w:r>
                                  <w:rPr>
                                    <w:rFonts w:eastAsiaTheme="minorEastAsia" w:cs="Times New Roman"/>
                                    <w:color w:val="FFFFFF"/>
                                    <w:sz w:val="20"/>
                                    <w:szCs w:val="20"/>
                                  </w:rPr>
                                  <w:t>- Нелегальна та неконтрольована вирубка лісів</w:t>
                                </w:r>
                              </w:p>
                              <w:p w:rsidR="00275E65" w:rsidRDefault="00275E65"/>
                            </w:txbxContent>
                          </wps:txbx>
                          <wps:bodyPr spcFirstLastPara="0" vert="horz" wrap="square" lIns="71120" tIns="71120" rIns="71120" bIns="71120" numCol="1" spcCol="1270" anchor="ctr" anchorCtr="0">
                            <a:noAutofit/>
                          </wps:bodyPr>
                        </wps:wsp>
                      </wpg:grpSp>
                      <wpg:grpSp>
                        <wpg:cNvPr id="62" name="Группа 62"/>
                        <wpg:cNvGrpSpPr/>
                        <wpg:grpSpPr bwMode="auto">
                          <a:xfrm>
                            <a:off x="2071370" y="3402019"/>
                            <a:ext cx="1775460" cy="714360"/>
                            <a:chOff x="0" y="0"/>
                            <a:chExt cx="1775460" cy="714360"/>
                          </a:xfrm>
                        </wpg:grpSpPr>
                        <wps:wsp>
                          <wps:cNvPr id="63" name="Скругленный прямоугольник 63"/>
                          <wps:cNvSpPr/>
                          <wps:spPr bwMode="auto">
                            <a:xfrm>
                              <a:off x="0" y="0"/>
                              <a:ext cx="1775460" cy="714360"/>
                            </a:xfrm>
                            <a:prstGeom prst="roundRect">
                              <a:avLst>
                                <a:gd name="adj" fmla="val 16667"/>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wps:style>
                          <wps:bodyPr rot="0">
                            <a:prstTxWarp prst="textNoShape">
                              <a:avLst/>
                            </a:prstTxWarp>
                            <a:noAutofit/>
                          </wps:bodyPr>
                        </wps:wsp>
                        <wps:wsp>
                          <wps:cNvPr id="64" name="Прямоугольник 64"/>
                          <wps:cNvSpPr/>
                          <wps:spPr bwMode="auto">
                            <a:xfrm>
                              <a:off x="34871" y="34871"/>
                              <a:ext cx="1705716" cy="644616"/>
                            </a:xfrm>
                            <a:prstGeom prst="rect">
                              <a:avLst/>
                            </a:prstGeom>
                            <a:noFill/>
                            <a:ln>
                              <a:noFill/>
                            </a:ln>
                          </wps:spPr>
                          <wps:txbx>
                            <w:txbxContent>
                              <w:p w:rsidR="00275E65" w:rsidRDefault="00902217">
                                <w:r>
                                  <w:rPr>
                                    <w:rFonts w:eastAsiaTheme="minorEastAsia"/>
                                    <w:sz w:val="40"/>
                                    <w:szCs w:val="40"/>
                                  </w:rPr>
                                  <w:t>SWOT</w:t>
                                </w:r>
                              </w:p>
                            </w:txbxContent>
                          </wps:txbx>
                          <wps:bodyPr spcFirstLastPara="0" vert="horz" wrap="square" lIns="76200" tIns="76200" rIns="76200" bIns="76200" numCol="1" spcCol="1270" anchor="ctr" anchorCtr="0">
                            <a:noAutofit/>
                          </wps:bodyPr>
                        </wps:wsp>
                      </wpg:grpSp>
                    </wpg:wgp>
                  </a:graphicData>
                </a:graphic>
              </wp:inline>
            </w:drawing>
          </mc:Choice>
          <mc:Fallback xmlns:a="http://schemas.openxmlformats.org/drawingml/2006/main" xmlns:w15="http://schemas.microsoft.com/office/word/2012/wordml">
            <w:pict>
              <v:group id="group 11" o:spid="_x0000_s0000" style="mso-wrap-distance-left:0.0pt;mso-wrap-distance-top:0.0pt;mso-wrap-distance-right:0.0pt;mso-wrap-distance-bottom:0.0pt;width:466.0pt;height:592.0pt;" coordorigin="0,0" coordsize="59182,75184">
                <v:group id="group 12" o:spid="_x0000_s0000" style="position:absolute;left:-4000;top:4000;width:37592;height:29591;" coordorigin="0,0" coordsize="37592,29591">
                  <v:shape id="shape 13" o:spid="_x0000_s13" style="position:absolute;left:0;top:0;width:37592;height:29591;rotation:269;" coordsize="100000,100000" path="m0,0l86880,0l86880,0c94076,0,99998,7523,99998,16665l99998,16665c99998,16665,99998,16665,99998,16665l100000,99999l0,99999xe" fillcolor="#EA6F2E" strokecolor="#FFFFFF" strokeweight="1.00pt">
                    <v:path textboxrect="0,0,96155,99998"/>
                  </v:shape>
                  <v:shape id="shape 14" o:spid="_x0000_s14" o:spt="1" style="position:absolute;left:4000;top:-4000;width:29591;height:28194;rotation:360;v-text-anchor:middle;" coordsize="100000,100000" path="" filled="f" stroked="f">
                    <v:path textboxrect="0,0,0,0"/>
                    <v:textbox>
                      <w:txbxContent>
                        <w:p>
                          <w:r>
                            <w:rPr>
                              <w:rFonts w:cs="Times New Roman" w:asciiTheme="minorHAnsi" w:hAnsiTheme="minorHAnsi" w:eastAsiaTheme="minorEastAsia"/>
                              <w:color w:val="FFFFFF"/>
                              <w:sz w:val="20"/>
                              <w:szCs w:val="20"/>
                            </w:rPr>
                            <w:t xml:space="preserve">Сильні сторони</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Комунальне підприємство «Носівські теплові мережі» яке надає послуги по теплопостачанню громадських будівель ( заклади освіти, культури, бюджетна сфера) виробляє теплову енергію 51% на газу та 49% на альтернативному паливі (дрова)</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Мережею водопостачання охоплено 90% мешканців міста, а водовідведення - 5%</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Налагоджена система організованого вивозу твердих побутових відходів</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Немає великих забруднювачів довкілля</w:t>
                          </w:r>
                          <w:r>
                            <w:rPr>
                              <w:rFonts w:asciiTheme="minorHAnsi" w:hAnsiTheme="minorHAnsi" w:eastAsiaTheme="minorEastAsia"/>
                            </w:rPr>
                          </w:r>
                          <w:r>
                            <w:rPr>
                              <w:rFonts w:asciiTheme="minorHAnsi" w:hAnsiTheme="minorHAnsi" w:eastAsiaTheme="minorEastAsia"/>
                            </w:rPr>
                          </w:r>
                        </w:p>
                      </w:txbxContent>
                    </v:textbox>
                  </v:shape>
                </v:group>
                <v:group id="group 15" o:spid="_x0000_s0000" style="position:absolute;left:29591;top:0;width:29591;height:37592;" coordorigin="0,0" coordsize="29591,37592">
                  <v:shape id="shape 16" o:spid="_x0000_s16" style="position:absolute;left:0;top:0;width:29591;height:37592;" coordsize="100000,100000" path="m0,0l83334,0l83334,0c92476,0,99999,5922,99999,13118l99999,13118c99999,13118,99999,13118,99999,13118l99999,100000l0,100000xe" fillcolor="#A2A2A2" strokecolor="#FFFFFF" strokeweight="1.00pt">
                    <v:path textboxrect="0,0,95117,100000"/>
                  </v:shape>
                  <v:shape id="shape 17" o:spid="_x0000_s17" o:spt="1" style="position:absolute;left:0;top:0;width:29591;height:28194;v-text-anchor:middle;" coordsize="100000,100000" path="" filled="f" stroked="f">
                    <v:path textboxrect="0,0,0,0"/>
                    <v:textbox>
                      <w:txbxContent>
                        <w:p>
                          <w:r/>
                          <w:r/>
                        </w:p>
                        <w:p>
                          <w:r/>
                          <w:r/>
                        </w:p>
                        <w:p>
                          <w:r>
                            <w:rPr>
                              <w:rFonts w:cs="Times New Roman" w:asciiTheme="minorHAnsi" w:hAnsiTheme="minorHAnsi" w:eastAsiaTheme="minorEastAsia"/>
                              <w:color w:val="FFFFFF"/>
                              <w:sz w:val="20"/>
                              <w:szCs w:val="20"/>
                            </w:rPr>
                            <w:t xml:space="preserve">Слабкі сторони</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Відсутність до розробки та затвердження МЕП енергетичної політики громади</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Значно зношена інженерна інфраструктура, часті аварійні ситуації</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недостатній рівень обізнаності мешканців громади з використання відновлювальних джерел енергії</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w:t>
                          </w:r>
                          <w:r>
                            <w:rPr>
                              <w:rFonts w:cs="Times New Roman" w:asciiTheme="minorHAnsi" w:hAnsiTheme="minorHAnsi" w:eastAsiaTheme="minorEastAsia"/>
                              <w:color w:val="FFFFFF"/>
                              <w:sz w:val="20"/>
                              <w:szCs w:val="20"/>
                            </w:rPr>
                            <w:t xml:space="preserve">Обмеженість фінансових можливостей бюджетів та нестача фінансових ресурсів комунальних підприємств для впровадження енергоефективних проєктів</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w:t>
                          </w:r>
                          <w:r>
                            <w:rPr>
                              <w:rFonts w:cs="Times New Roman" w:asciiTheme="minorHAnsi" w:hAnsiTheme="minorHAnsi" w:eastAsiaTheme="minorEastAsia"/>
                              <w:color w:val="FFFFFF"/>
                              <w:sz w:val="20"/>
                              <w:szCs w:val="20"/>
                            </w:rPr>
                            <w:t xml:space="preserve">Відсутність конкуренції в сфері енергопостачання- Відсутність налагодженої системи енергоменеджменту</w:t>
                          </w:r>
                          <w:r>
                            <w:rPr>
                              <w:rFonts w:cs="Times New Roman" w:asciiTheme="minorHAnsi" w:hAnsiTheme="minorHAnsi" w:eastAsiaTheme="minorEastAsia"/>
                              <w:color w:val="FFFFFF"/>
                              <w:sz w:val="20"/>
                              <w:szCs w:val="20"/>
                            </w:rPr>
                            <w:t xml:space="preserve">- Недосконала державна політика щодо енергетичного кредитування</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Низький вплив місцевого самоврядування на приватний сектор</w:t>
                          </w:r>
                          <w:r>
                            <w:rPr>
                              <w:rFonts w:asciiTheme="minorHAnsi" w:hAnsiTheme="minorHAnsi" w:eastAsiaTheme="minorEastAsia"/>
                            </w:rPr>
                          </w:r>
                          <w:r>
                            <w:rPr>
                              <w:rFonts w:asciiTheme="minorHAnsi" w:hAnsiTheme="minorHAnsi" w:eastAsiaTheme="minorEastAsia"/>
                            </w:rPr>
                          </w:r>
                        </w:p>
                      </w:txbxContent>
                    </v:textbox>
                  </v:shape>
                </v:group>
                <v:group id="group 18" o:spid="_x0000_s0000" style="position:absolute;left:0;top:37592;width:29591;height:37592;" coordorigin="0,0" coordsize="29591,37592">
                  <v:shape id="shape 19" o:spid="_x0000_s19" style="position:absolute;left:0;top:0;width:29591;height:37592;rotation:180;" coordsize="100000,100000" path="m0,0l83334,0l83334,0c92476,0,99999,5922,99999,13118l99999,13118c99999,13118,99999,13118,99999,13118l99999,100000l0,100000xe" fillcolor="#FFB200" strokecolor="#FFFFFF" strokeweight="1.00pt">
                    <v:path textboxrect="0,0,95117,100000"/>
                  </v:shape>
                  <v:shape id="shape 20" o:spid="_x0000_s20" o:spt="1" style="position:absolute;left:0;top:9398;width:29591;height:28194;rotation:360;v-text-anchor:middle;" coordsize="100000,100000" path="" filled="f" stroked="f">
                    <v:path textboxrect="0,0,0,0"/>
                    <v:textbox>
                      <w:txbxContent>
                        <w:p>
                          <w:r>
                            <w:rPr>
                              <w:rFonts w:cs="Times New Roman" w:asciiTheme="minorHAnsi" w:hAnsiTheme="minorHAnsi" w:eastAsiaTheme="minorEastAsia"/>
                              <w:color w:val="FFFFFF"/>
                              <w:sz w:val="20"/>
                              <w:szCs w:val="20"/>
                            </w:rPr>
                            <w:t xml:space="preserve">Можливості</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У наявності 5</w:t>
                          </w:r>
                          <w:r>
                            <w:rPr>
                              <w:rFonts w:cs="Times New Roman" w:asciiTheme="minorHAnsi" w:hAnsiTheme="minorHAnsi" w:eastAsiaTheme="minorEastAsia"/>
                              <w:color w:val="FFFFFF"/>
                              <w:sz w:val="20"/>
                              <w:szCs w:val="20"/>
                            </w:rPr>
                            <w:t xml:space="preserve">4.8848 га </w:t>
                          </w:r>
                          <w:r>
                            <w:rPr>
                              <w:rFonts w:cs="Times New Roman" w:asciiTheme="minorHAnsi" w:hAnsiTheme="minorHAnsi" w:eastAsiaTheme="minorEastAsia"/>
                              <w:color w:val="FFFFFF"/>
                              <w:sz w:val="20"/>
                              <w:szCs w:val="20"/>
                            </w:rPr>
                            <w:t xml:space="preserve">землі промислової зони придатної для реалізації інвестиційних проектів</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Високий потенціал енергозбереження та впровадження альтернативних джерел енергії</w:t>
                          </w:r>
                          <w:r>
                            <w:rPr>
                              <w:rFonts w:cs="Times New Roman" w:asciiTheme="minorHAnsi" w:hAnsiTheme="minorHAnsi" w:eastAsiaTheme="minorEastAsia"/>
                              <w:color w:val="FFFFFF"/>
                              <w:sz w:val="20"/>
                              <w:szCs w:val="20"/>
                            </w:rPr>
                            <w:t xml:space="preserve"> </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На території громади наявні   ділянки землі до 10 га, які можна використати для заходів енергоефективності</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Міжнародна підтримка </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Значні лісові ресурси (17% площ), наявні малі ріки (Носівочка, Новий Потік, Остер), ставки, місцеві корисні копалини</w:t>
                          </w:r>
                          <w:r>
                            <w:rPr>
                              <w:rFonts w:asciiTheme="minorHAnsi" w:hAnsiTheme="minorHAnsi" w:eastAsiaTheme="minorEastAsia"/>
                            </w:rPr>
                          </w:r>
                          <w:r>
                            <w:rPr>
                              <w:rFonts w:asciiTheme="minorHAnsi" w:hAnsiTheme="minorHAnsi" w:eastAsiaTheme="minorEastAsia"/>
                            </w:rPr>
                          </w:r>
                        </w:p>
                      </w:txbxContent>
                    </v:textbox>
                  </v:shape>
                </v:group>
                <v:group id="group 21" o:spid="_x0000_s0000" style="position:absolute;left:25590;top:41592;width:37592;height:29591;" coordorigin="0,0" coordsize="37592,29591">
                  <v:shape id="shape 22" o:spid="_x0000_s22" style="position:absolute;left:0;top:0;width:37592;height:29591;rotation:90;" coordsize="100000,100000" path="m0,0l86880,0l86880,0c94076,0,99998,7523,99998,16665l99998,16665c99998,16665,99998,16665,99998,16665l100000,99999l0,99999xe" fillcolor="#5998D2" strokecolor="#FFFFFF" strokeweight="1.00pt">
                    <v:path textboxrect="0,0,96155,99998"/>
                  </v:shape>
                  <v:shape id="shape 23" o:spid="_x0000_s23" o:spt="1" style="position:absolute;left:4000;top:5397;width:29591;height:28194;rotation:0;v-text-anchor:middle;" coordsize="100000,100000" path="" filled="f" stroked="f">
                    <v:path textboxrect="0,0,0,0"/>
                    <v:textbox>
                      <w:txbxContent>
                        <w:p>
                          <w:r>
                            <w:rPr>
                              <w:rFonts w:cs="Times New Roman" w:asciiTheme="minorHAnsi" w:hAnsiTheme="minorHAnsi" w:eastAsiaTheme="minorEastAsia"/>
                              <w:color w:val="FFFFFF"/>
                              <w:sz w:val="20"/>
                              <w:szCs w:val="20"/>
                            </w:rPr>
                            <w:t xml:space="preserve">Загрози</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Війна і небезпека яку вона несе</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Політична нестабільність</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w:t>
                          </w:r>
                          <w:r>
                            <w:rPr>
                              <w:rFonts w:cs="Times New Roman" w:asciiTheme="minorHAnsi" w:hAnsiTheme="minorHAnsi" w:eastAsiaTheme="minorEastAsia"/>
                              <w:color w:val="FFFFFF"/>
                              <w:sz w:val="20"/>
                              <w:szCs w:val="20"/>
                            </w:rPr>
                            <w:t xml:space="preserve">Недосконала тарифна політика</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Рівень фінансової спроможності мешканців, бюджету громади для фінансування бюджетних установ</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Високий рівень інфляційних процесів </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Залежність від зовнішнього фінансуванн</w:t>
                          </w:r>
                          <w:r>
                            <w:rPr>
                              <w:rFonts w:asciiTheme="minorHAnsi" w:hAnsiTheme="minorHAnsi" w:eastAsiaTheme="minorEastAsia"/>
                            </w:rPr>
                          </w:r>
                          <w:r>
                            <w:rPr>
                              <w:rFonts w:asciiTheme="minorHAnsi" w:hAnsiTheme="minorHAnsi" w:eastAsiaTheme="minorEastAsia"/>
                            </w:rPr>
                          </w:r>
                        </w:p>
                        <w:p>
                          <w:r>
                            <w:rPr>
                              <w:rFonts w:cs="Times New Roman" w:asciiTheme="minorHAnsi" w:hAnsiTheme="minorHAnsi" w:eastAsiaTheme="minorEastAsia"/>
                              <w:color w:val="FFFFFF"/>
                              <w:sz w:val="20"/>
                              <w:szCs w:val="20"/>
                            </w:rPr>
                            <w:t xml:space="preserve">- </w:t>
                          </w:r>
                          <w:r>
                            <w:rPr>
                              <w:rFonts w:cs="Times New Roman" w:asciiTheme="minorHAnsi" w:hAnsiTheme="minorHAnsi" w:eastAsiaTheme="minorEastAsia"/>
                              <w:color w:val="FFFFFF"/>
                              <w:sz w:val="20"/>
                              <w:szCs w:val="20"/>
                            </w:rPr>
                            <w:t xml:space="preserve">Нелегальна та неконтрольована вирубка лісів</w:t>
                          </w:r>
                          <w:r>
                            <w:rPr>
                              <w:rFonts w:asciiTheme="minorHAnsi" w:hAnsiTheme="minorHAnsi" w:eastAsiaTheme="minorEastAsia"/>
                            </w:rPr>
                          </w:r>
                          <w:r>
                            <w:rPr>
                              <w:rFonts w:asciiTheme="minorHAnsi" w:hAnsiTheme="minorHAnsi" w:eastAsiaTheme="minorEastAsia"/>
                            </w:rPr>
                          </w:r>
                        </w:p>
                        <w:p>
                          <w:r>
                            <w:rPr>
                              <w:rFonts w:asciiTheme="minorHAnsi" w:hAnsiTheme="minorHAnsi" w:eastAsiaTheme="minorEastAsia"/>
                            </w:rPr>
                          </w:r>
                          <w:r>
                            <w:rPr>
                              <w:rFonts w:asciiTheme="minorHAnsi" w:hAnsiTheme="minorHAnsi" w:eastAsiaTheme="minorEastAsia"/>
                            </w:rPr>
                          </w:r>
                          <w:r>
                            <w:rPr>
                              <w:rFonts w:asciiTheme="minorHAnsi" w:hAnsiTheme="minorHAnsi" w:eastAsiaTheme="minorEastAsia"/>
                            </w:rPr>
                          </w:r>
                        </w:p>
                      </w:txbxContent>
                    </v:textbox>
                  </v:shape>
                </v:group>
                <v:group id="group 24" o:spid="_x0000_s0000" style="position:absolute;left:20713;top:34020;width:17754;height:7143;" coordorigin="0,0" coordsize="17754,7143">
                  <v:shape id="shape 25" o:spid="_x0000_s25" o:spt="2" style="position:absolute;left:0;top:0;width:17754;height:7143;" coordsize="100000,100000" path="m0,16667l0,16667c0,7524,3026,0,6704,0c6704,0,6704,0,6704,0l93294,0l93294,0c96972,0,99998,7524,99998,16667l99998,16667c99998,16667,99998,16667,99998,16667l100000,83335l100000,83335c100000,83335,100000,83335,100000,83335l100000,83335c100000,92478,96974,100002,93296,100002c93296,100002,93296,100002,93296,100002l6704,100002l6704,100002c3026,100002,0,92478,0,83335c0,83335,0,83335,0,83335xe" fillcolor="#F4C3A9" strokecolor="#FFFFFF" strokeweight="1.00pt">
                    <v:path textboxrect="1962,4878,98034,95117"/>
                  </v:shape>
                  <v:shape id="shape 26" o:spid="_x0000_s26" o:spt="1" style="position:absolute;left:348;top:348;width:17057;height:6446;v-text-anchor:middle;" coordsize="100000,100000" path="" filled="f" stroked="f">
                    <v:path textboxrect="0,0,0,0"/>
                    <v:textbox>
                      <w:txbxContent>
                        <w:p>
                          <w:r>
                            <w:rPr>
                              <w:rFonts w:asciiTheme="minorHAnsi" w:hAnsiTheme="minorHAnsi" w:eastAsiaTheme="minorEastAsia" w:cstheme="minorBidi"/>
                              <w:sz w:val="40"/>
                              <w:szCs w:val="40"/>
                            </w:rPr>
                            <w:t xml:space="preserve">SWOT</w:t>
                          </w:r>
                          <w:r>
                            <w:rPr>
                              <w:rFonts w:asciiTheme="minorHAnsi" w:hAnsiTheme="minorHAnsi" w:eastAsiaTheme="minorEastAsia" w:cstheme="minorBidi"/>
                            </w:rPr>
                          </w:r>
                          <w:r>
                            <w:rPr>
                              <w:rFonts w:asciiTheme="minorHAnsi" w:hAnsiTheme="minorHAnsi" w:eastAsiaTheme="minorEastAsia" w:cstheme="minorBidi"/>
                            </w:rPr>
                          </w:r>
                        </w:p>
                      </w:txbxContent>
                    </v:textbox>
                  </v:shape>
                </v:group>
              </v:group>
            </w:pict>
          </mc:Fallback>
        </mc:AlternateConten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eastAsia="uk-UA"/>
        </w:rPr>
        <w:t>Під час аналізу обмежень для сталого енергетичного розвитку територіальної громади були враховані:</w:t>
      </w:r>
    </w:p>
    <w:p w:rsidR="00275E65" w:rsidRDefault="00902217">
      <w:pPr>
        <w:pStyle w:val="Arord"/>
        <w:numPr>
          <w:ilvl w:val="0"/>
          <w:numId w:val="8"/>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нормативно-правові обмеження на державному та місцевому рівня</w:t>
      </w:r>
      <w:r>
        <w:rPr>
          <w:rFonts w:ascii="Times New Roman" w:eastAsiaTheme="minorEastAsia" w:hAnsi="Times New Roman" w:cstheme="minorHAnsi"/>
          <w:sz w:val="22"/>
          <w:lang w:eastAsia="uk-UA"/>
        </w:rPr>
        <w:t>х;</w:t>
      </w:r>
    </w:p>
    <w:p w:rsidR="00275E65" w:rsidRDefault="00902217">
      <w:pPr>
        <w:pStyle w:val="Arord"/>
        <w:numPr>
          <w:ilvl w:val="0"/>
          <w:numId w:val="8"/>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фінансові обмеження та спроможності бюджету територіальної громади;</w:t>
      </w:r>
    </w:p>
    <w:p w:rsidR="00275E65" w:rsidRDefault="00902217">
      <w:pPr>
        <w:pStyle w:val="Arord"/>
        <w:numPr>
          <w:ilvl w:val="0"/>
          <w:numId w:val="8"/>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людські обмеження та спроможності територіальної громади;</w:t>
      </w:r>
    </w:p>
    <w:p w:rsidR="00275E65" w:rsidRDefault="00902217">
      <w:pPr>
        <w:pStyle w:val="Arord"/>
        <w:numPr>
          <w:ilvl w:val="0"/>
          <w:numId w:val="8"/>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матеріально-технічні та ринкові обмеження.</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eastAsia="ru-RU"/>
        </w:rPr>
        <w:t xml:space="preserve">Обмеженнями </w:t>
      </w:r>
      <w:r>
        <w:rPr>
          <w:rFonts w:ascii="Times New Roman" w:eastAsiaTheme="minorEastAsia" w:hAnsi="Times New Roman" w:cstheme="minorHAnsi"/>
          <w:sz w:val="22"/>
          <w:lang w:val="ru-RU" w:eastAsia="ru-RU"/>
        </w:rPr>
        <w:t xml:space="preserve">для сталого енергетичного розвитку </w:t>
      </w:r>
      <w:r>
        <w:rPr>
          <w:rFonts w:ascii="Times New Roman" w:eastAsiaTheme="minorEastAsia" w:hAnsi="Times New Roman" w:cstheme="minorHAnsi"/>
          <w:sz w:val="22"/>
          <w:lang w:eastAsia="ru-RU"/>
        </w:rPr>
        <w:t>громади в данний час є:</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eastAsia="ru-RU"/>
        </w:rPr>
        <w:t>Обмежений бюджет – в зв’язку з змінами в законодавстві пов’язаних з війною прогнозовані зменшення надходжень до бюджету громади в 2023 -24</w:t>
      </w:r>
      <w:r>
        <w:rPr>
          <w:rFonts w:ascii="Times New Roman" w:eastAsiaTheme="minorEastAsia" w:hAnsi="Times New Roman" w:cstheme="minorHAnsi"/>
          <w:sz w:val="22"/>
          <w:lang w:val="ru-RU" w:eastAsia="ru-RU"/>
        </w:rPr>
        <w:t xml:space="preserve"> </w:t>
      </w:r>
      <w:r>
        <w:rPr>
          <w:rFonts w:ascii="Times New Roman" w:eastAsiaTheme="minorEastAsia" w:hAnsi="Times New Roman" w:cstheme="minorHAnsi"/>
          <w:sz w:val="22"/>
          <w:lang w:eastAsia="ru-RU"/>
        </w:rPr>
        <w:t>роках очікуються 22,3 млн.грн.;</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Проблема з кадрами- в зв’язку з війною чоловіки мобілізовані до ЗСУ і виникають пробл</w:t>
      </w:r>
      <w:r>
        <w:rPr>
          <w:rFonts w:ascii="Times New Roman" w:eastAsiaTheme="minorEastAsia" w:hAnsi="Times New Roman" w:cstheme="minorHAnsi"/>
          <w:sz w:val="22"/>
        </w:rPr>
        <w:t xml:space="preserve">еми з кадрами  а саме недостатньо трактористів, водіїв та інших </w:t>
      </w:r>
      <w:r>
        <w:rPr>
          <w:rFonts w:ascii="Times New Roman" w:eastAsiaTheme="minorEastAsia" w:hAnsi="Times New Roman" w:cstheme="minorHAnsi"/>
          <w:sz w:val="22"/>
          <w:lang w:val="ru-RU"/>
        </w:rPr>
        <w:t>робочих профес</w:t>
      </w:r>
      <w:r>
        <w:rPr>
          <w:rFonts w:ascii="Times New Roman" w:eastAsiaTheme="minorEastAsia" w:hAnsi="Times New Roman" w:cstheme="minorHAnsi"/>
          <w:sz w:val="22"/>
        </w:rPr>
        <w:t>і</w:t>
      </w:r>
      <w:r>
        <w:rPr>
          <w:rFonts w:ascii="Times New Roman" w:eastAsiaTheme="minorEastAsia" w:hAnsi="Times New Roman" w:cstheme="minorHAnsi"/>
          <w:sz w:val="22"/>
          <w:lang w:val="ru-RU"/>
        </w:rPr>
        <w:t>й</w:t>
      </w:r>
      <w:r>
        <w:rPr>
          <w:rFonts w:ascii="Times New Roman" w:eastAsiaTheme="minorEastAsia" w:hAnsi="Times New Roman" w:cstheme="minorHAnsi"/>
          <w:sz w:val="22"/>
        </w:rPr>
        <w:t>.</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Нормативно - правові обмеження пов’язані з війною впливають на  бюджет громади , це і ПДФО ( зменшення частини місцевого бюджету), податок на землю та нерухомість.</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 Матеріально- технічні обмеження- техніка комунальних підприємств потребує часткового оновлення та поповнення. Також система водопостачання та водовідведення  потребую реконструкції та капітальних ремонтів так як мережа водопостачання за 30 років  по деяки</w:t>
      </w:r>
      <w:r>
        <w:rPr>
          <w:rFonts w:ascii="Times New Roman" w:eastAsiaTheme="minorEastAsia" w:hAnsi="Times New Roman" w:cstheme="minorHAnsi"/>
          <w:sz w:val="22"/>
        </w:rPr>
        <w:t>х ділянках потребує заміни. Також  добігає термін придатності  полів фільтрації по водовідведенню.</w:t>
      </w:r>
    </w:p>
    <w:p w:rsidR="00275E65" w:rsidRDefault="00902217">
      <w:pPr>
        <w:pStyle w:val="ArHead2"/>
        <w:tabs>
          <w:tab w:val="left" w:pos="709"/>
        </w:tabs>
        <w:spacing w:after="0" w:line="276" w:lineRule="auto"/>
        <w:ind w:firstLine="567"/>
        <w:rPr>
          <w:rFonts w:ascii="Times New Roman" w:hAnsi="Times New Roman" w:cs="Times New Roman"/>
          <w:sz w:val="22"/>
        </w:rPr>
      </w:pPr>
      <w:bookmarkStart w:id="170" w:name="_Toc168064813"/>
      <w:r>
        <w:rPr>
          <w:rFonts w:ascii="Times New Roman" w:eastAsiaTheme="minorEastAsia" w:hAnsi="Times New Roman" w:cstheme="minorHAnsi"/>
          <w:sz w:val="22"/>
        </w:rPr>
        <w:t>Аналіз впливу органу місцевого самоврядування на сектори планування МЕП</w:t>
      </w:r>
      <w:bookmarkEnd w:id="170"/>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Органи місцевого самоврядування (ОМС) відіграють важливу роль у сприянні впровадженню</w:t>
      </w:r>
      <w:r>
        <w:rPr>
          <w:rFonts w:ascii="Times New Roman" w:eastAsiaTheme="minorEastAsia" w:hAnsi="Times New Roman" w:cstheme="minorHAnsi"/>
          <w:sz w:val="22"/>
        </w:rPr>
        <w:t xml:space="preserve"> енергоефективних заходів у громаді. Їхня діяльність може сприяти зменшенню енерговитрат, покращенню якості життя та розвитку підприємництва, що в свою чергу впливає на бюджетні установи через збільшення податкових надходжень та оптимізацію витрат. Права т</w:t>
      </w:r>
      <w:r>
        <w:rPr>
          <w:rFonts w:ascii="Times New Roman" w:eastAsiaTheme="minorEastAsia" w:hAnsi="Times New Roman" w:cstheme="minorHAnsi"/>
          <w:sz w:val="22"/>
        </w:rPr>
        <w:t>а обов’язки органів місцевого самоврядування прописані в законі України Про місцеве самоврядування в Україні № 280/97-ВР.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Діяльність ОМС має безпосередній вплив на бюджетний сектор через контроль і нагляд за споживанням енергоресурсів, розробку та впровад</w:t>
      </w:r>
      <w:r>
        <w:rPr>
          <w:rFonts w:ascii="Times New Roman" w:eastAsiaTheme="minorEastAsia" w:hAnsi="Times New Roman" w:cstheme="minorHAnsi"/>
          <w:sz w:val="22"/>
        </w:rPr>
        <w:t>ження проєктів з термомодернізації громадських будівлях.</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Для виконання  цілей енергетичного планування  органи місцевого самоврядування можуть застосовувати політичні інструменти регулювання, заохочення та сприяння, що  стосуються всіх цільових груп та кат</w:t>
      </w:r>
      <w:r>
        <w:rPr>
          <w:rFonts w:ascii="Times New Roman" w:eastAsiaTheme="minorEastAsia" w:hAnsi="Times New Roman" w:cstheme="minorHAnsi"/>
          <w:sz w:val="22"/>
        </w:rPr>
        <w:t>егорій споживачів енергоресурсів.</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Заходи регулювання по стимулюванню ефективного використання енергоресурсів повинні початися з введення жорстких нормативів споживання будівлями теплової енергії. Одним з дієвих заходів по стимулюванню ефективного використа</w:t>
      </w:r>
      <w:r>
        <w:rPr>
          <w:rFonts w:ascii="Times New Roman" w:eastAsiaTheme="minorEastAsia" w:hAnsi="Times New Roman" w:cstheme="minorHAnsi"/>
          <w:sz w:val="22"/>
        </w:rPr>
        <w:t>ння енергоресурсів бюджетними закладами є розробка економічно обґрунтованих лімітів споживання енергоносіїв та комунальних послуг і контроль за їх дотриманням. Нормативи з часом повинні переглядатися з урахуванням нової енергетичної ситуації та технічних м</w:t>
      </w:r>
      <w:r>
        <w:rPr>
          <w:rFonts w:ascii="Times New Roman" w:eastAsiaTheme="minorEastAsia" w:hAnsi="Times New Roman" w:cstheme="minorHAnsi"/>
          <w:sz w:val="22"/>
        </w:rPr>
        <w:t>ожливостей. Крім того, для сприяння ефективному використання енергоресурсів повинна бути створена система контролю за дотриманням нормативів, які використовуються, з повноваженнями накладати суворі економічні санкції на порушників.</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Щодо заохочувальних захо</w:t>
      </w:r>
      <w:r>
        <w:rPr>
          <w:rFonts w:ascii="Times New Roman" w:eastAsiaTheme="minorEastAsia" w:hAnsi="Times New Roman" w:cstheme="minorHAnsi"/>
          <w:sz w:val="22"/>
        </w:rPr>
        <w:t>дів, впровадження податкових пільг для тих, хто економить енергію – нормальна практика багатьох західних країн. В наших умовах також можливо встановлення податкових пільг, наприклад, для підприємців, які при будівництві і реконструкції будівель освоїли нов</w:t>
      </w:r>
      <w:r>
        <w:rPr>
          <w:rFonts w:ascii="Times New Roman" w:eastAsiaTheme="minorEastAsia" w:hAnsi="Times New Roman" w:cstheme="minorHAnsi"/>
          <w:sz w:val="22"/>
        </w:rPr>
        <w:t>і енергоощадні технології (в частині сплати до місцевого бюджету). Для впровадження енергоощадних заходів з великим терміном окупності необхідно залучення банківських коштів. Їх залученню може сприяти, наприклад, погашення процентної ставки за користування</w:t>
      </w:r>
      <w:r>
        <w:rPr>
          <w:rFonts w:ascii="Times New Roman" w:eastAsiaTheme="minorEastAsia" w:hAnsi="Times New Roman" w:cstheme="minorHAnsi"/>
          <w:sz w:val="22"/>
        </w:rPr>
        <w:t xml:space="preserve"> кредитами за рахунок міського чи державного бюджету Місцеві податки і тарифи можна використати як для обмеження небажаної поведінки в сфері ефективного використання енергії, так і для підтримки громадсько-корисної діяльності в цій сфері. За прикладом муні</w:t>
      </w:r>
      <w:r>
        <w:rPr>
          <w:rFonts w:ascii="Times New Roman" w:eastAsiaTheme="minorEastAsia" w:hAnsi="Times New Roman" w:cstheme="minorHAnsi"/>
          <w:sz w:val="22"/>
        </w:rPr>
        <w:t>ципалітетів західних країн необхідно постійно проводити цілеспрямовану інформаційну роботу з мешканцями громади щодо формування і утвердження енергозберігаючих принципів у громадській свідомості та поширенні політики енергозбереження.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Для забезпечення ефе</w:t>
      </w:r>
      <w:r>
        <w:rPr>
          <w:rFonts w:ascii="Times New Roman" w:eastAsiaTheme="minorEastAsia" w:hAnsi="Times New Roman" w:cstheme="minorHAnsi"/>
          <w:sz w:val="22"/>
        </w:rPr>
        <w:t>ктивного використання енергоресурсів ОМС в партнерстві з приватним сектором, громадськими організаціями, споживачами необхідно стимулювати освіту з питань підвищення ефективності використання енергоресурсів і охорони навколишнього середовища та розвивати с</w:t>
      </w:r>
      <w:r>
        <w:rPr>
          <w:rFonts w:ascii="Times New Roman" w:eastAsiaTheme="minorEastAsia" w:hAnsi="Times New Roman" w:cstheme="minorHAnsi"/>
          <w:sz w:val="22"/>
        </w:rPr>
        <w:t>півпрацю з іншими громадами (в т.ч. і муніципалітетами інших держав) щодо обміну знаннями та досвідом впровадження енергоощадних технологій.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Незважаючи на те, що поведінка і рішення мешканців будинків щодо ефективності використання енергоресурсів у власни</w:t>
      </w:r>
      <w:r>
        <w:rPr>
          <w:rFonts w:ascii="Times New Roman" w:eastAsiaTheme="minorEastAsia" w:hAnsi="Times New Roman" w:cstheme="minorHAnsi"/>
          <w:sz w:val="22"/>
        </w:rPr>
        <w:t>х квартирах не підпадають під прямий контроль ОМС і він не володіє безпосередніми можливостями впливу на поведінку споживачів енергії, вона в змозі зацікавити або обмежити споживачів, нагородити або застосовувати у відношенні до них санкції, тобто мотивува</w:t>
      </w:r>
      <w:r>
        <w:rPr>
          <w:rFonts w:ascii="Times New Roman" w:eastAsiaTheme="minorEastAsia" w:hAnsi="Times New Roman" w:cstheme="minorHAnsi"/>
          <w:sz w:val="22"/>
        </w:rPr>
        <w:t>ти їх поведінку. Необхідно постійно проводити інформаційну роботу з мешканцями громади щодо підвищення ефективності використання енергоносіїв у житлових будівлях. Існують різні форми і методи мотивуючого впливу на кінцевих споживачів енергії з метою свідом</w:t>
      </w:r>
      <w:r>
        <w:rPr>
          <w:rFonts w:ascii="Times New Roman" w:eastAsiaTheme="minorEastAsia" w:hAnsi="Times New Roman" w:cstheme="minorHAnsi"/>
          <w:sz w:val="22"/>
        </w:rPr>
        <w:t>ого зменшення її споживання, а саме:</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поширення інформації щодо енергоефективності в засобах масової інформації;</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організація конференцій та навчальних семінарів з енергоефективності для різних категорій споживачів із залученням кваліфікованих спеціаліст</w:t>
      </w:r>
      <w:r>
        <w:rPr>
          <w:rFonts w:ascii="Times New Roman" w:eastAsiaTheme="minorEastAsia" w:hAnsi="Times New Roman" w:cstheme="minorHAnsi"/>
          <w:sz w:val="22"/>
        </w:rPr>
        <w:t>ів і науковців;</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надання консультацій підприємствам, установам і організаціям з метою спільної реалізації проєктів і програм, спрямованих на освоєння енергоефективних і екологічно чистих технологій;</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загальноосвітня діяльність у школах за рахунок удоскон</w:t>
      </w:r>
      <w:r>
        <w:rPr>
          <w:rFonts w:ascii="Times New Roman" w:eastAsiaTheme="minorEastAsia" w:hAnsi="Times New Roman" w:cstheme="minorHAnsi"/>
          <w:sz w:val="22"/>
        </w:rPr>
        <w:t>алення проведення уроків з енергозбереження;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реалізація демонстраційних проєктів в якості прикладів успішного виконання санації будівель;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запровадження економічних стимулів проведення реконструкції існуючих будівель для підвищення їх теплових парамет</w:t>
      </w:r>
      <w:r>
        <w:rPr>
          <w:rFonts w:ascii="Times New Roman" w:eastAsiaTheme="minorEastAsia" w:hAnsi="Times New Roman" w:cstheme="minorHAnsi"/>
          <w:sz w:val="22"/>
        </w:rPr>
        <w:t>рів та зміни поведінки споживачів, яке веде до зменшення споживання енергоносіїв;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заохочення створення недержавних альтернативних підприємств для експлуатації та обслуговування житлового фонду;</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залучення спеціалізованих фірм для проведення експертиз е</w:t>
      </w:r>
      <w:r>
        <w:rPr>
          <w:rFonts w:ascii="Times New Roman" w:eastAsiaTheme="minorEastAsia" w:hAnsi="Times New Roman" w:cstheme="minorHAnsi"/>
          <w:sz w:val="22"/>
        </w:rPr>
        <w:t>нергозберігаючих проєктів, підготовки бізнеспланів проєктів з енергоефективності для представлення їх потенційним інвесторам на розгляд можливості фінансування реалізації вказаних проєктів;</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впровадження і експлуатація системи моніторингу споживання енерг</w:t>
      </w:r>
      <w:r>
        <w:rPr>
          <w:rFonts w:ascii="Times New Roman" w:eastAsiaTheme="minorEastAsia" w:hAnsi="Times New Roman" w:cstheme="minorHAnsi"/>
          <w:sz w:val="22"/>
        </w:rPr>
        <w:t>оносіїв за допомогою програмного продукту.</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color w:val="000000"/>
          <w:sz w:val="22"/>
        </w:rPr>
        <w:t>Напрямки впливу :</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color w:val="000000"/>
          <w:sz w:val="22"/>
          <w:lang w:eastAsia="uk-UA"/>
        </w:rPr>
        <w:t>управління - вплив на прийняття управлінських рішень в секторі; </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color w:val="000000"/>
          <w:sz w:val="22"/>
          <w:lang w:eastAsia="uk-UA"/>
        </w:rPr>
        <w:t>регулювання - вплив на діяльність в секторі через прийняття регуляторних актів (у тому числі шляхом регулювання тарифів на комунальні послуги тощо);</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color w:val="000000"/>
          <w:sz w:val="22"/>
          <w:lang w:eastAsia="uk-UA"/>
        </w:rPr>
        <w:t>фінансування - вплив на забезпечення операційної діяльності та/або розвитку в секторі шляхом здійснення вид</w:t>
      </w:r>
      <w:r>
        <w:rPr>
          <w:rFonts w:ascii="Times New Roman" w:eastAsiaTheme="minorEastAsia" w:hAnsi="Times New Roman" w:cstheme="minorHAnsi"/>
          <w:color w:val="000000"/>
          <w:sz w:val="22"/>
          <w:lang w:eastAsia="uk-UA"/>
        </w:rPr>
        <w:t>атків з місцевого бюджету.</w:t>
      </w:r>
    </w:p>
    <w:p w:rsidR="00275E65" w:rsidRDefault="00902217">
      <w:pPr>
        <w:pStyle w:val="Artblname"/>
        <w:tabs>
          <w:tab w:val="left" w:pos="709"/>
        </w:tabs>
        <w:spacing w:line="276" w:lineRule="auto"/>
        <w:ind w:firstLine="567"/>
        <w:rPr>
          <w:rFonts w:ascii="Times New Roman" w:hAnsi="Times New Roman" w:cs="Times New Roman"/>
          <w:sz w:val="22"/>
        </w:rPr>
      </w:pPr>
      <w:bookmarkStart w:id="171" w:name="_Toc168064848"/>
      <w:r>
        <w:rPr>
          <w:rFonts w:ascii="Times New Roman" w:eastAsiaTheme="minorEastAsia" w:hAnsi="Times New Roman" w:cstheme="minorHAnsi"/>
          <w:sz w:val="22"/>
        </w:rPr>
        <w:t>Аналіз впливу ОМС на сектори  енергетичного планування</w:t>
      </w:r>
      <w:bookmarkEnd w:id="171"/>
    </w:p>
    <w:tbl>
      <w:tblPr>
        <w:tblStyle w:val="GridTable1Light"/>
        <w:tblW w:w="9350" w:type="dxa"/>
        <w:tblLayout w:type="fixed"/>
        <w:tblLook w:val="04A0" w:firstRow="1" w:lastRow="0" w:firstColumn="1" w:lastColumn="0" w:noHBand="0" w:noVBand="1"/>
      </w:tblPr>
      <w:tblGrid>
        <w:gridCol w:w="1923"/>
        <w:gridCol w:w="1917"/>
        <w:gridCol w:w="1918"/>
        <w:gridCol w:w="1919"/>
        <w:gridCol w:w="1673"/>
      </w:tblGrid>
      <w:tr w:rsidR="00275E65" w:rsidTr="00275E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3" w:type="dxa"/>
            <w:vMerge w:val="restart"/>
          </w:tcPr>
          <w:p w:rsidR="00275E65" w:rsidRDefault="00902217">
            <w:pPr>
              <w:pStyle w:val="Artblin"/>
              <w:tabs>
                <w:tab w:val="left" w:pos="709"/>
              </w:tabs>
              <w:spacing w:line="276" w:lineRule="auto"/>
              <w:rPr>
                <w:rFonts w:ascii="Times New Roman" w:hAnsi="Times New Roman" w:cs="Times New Roman"/>
                <w:sz w:val="22"/>
                <w:lang w:eastAsia="uk-UA"/>
              </w:rPr>
            </w:pPr>
            <w:r>
              <w:rPr>
                <w:rFonts w:ascii="Times New Roman" w:hAnsi="Times New Roman" w:cs="Times New Roman"/>
                <w:sz w:val="22"/>
                <w:lang w:eastAsia="uk-UA"/>
              </w:rPr>
              <w:t>Сектор</w:t>
            </w:r>
          </w:p>
        </w:tc>
        <w:tc>
          <w:tcPr>
            <w:tcW w:w="5754" w:type="dxa"/>
            <w:gridSpan w:val="3"/>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Напрямок впливу</w:t>
            </w:r>
          </w:p>
        </w:tc>
        <w:tc>
          <w:tcPr>
            <w:tcW w:w="1673" w:type="dxa"/>
            <w:vMerge w:val="restart"/>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Коментарі</w:t>
            </w:r>
          </w:p>
        </w:tc>
      </w:tr>
      <w:tr w:rsidR="00275E65" w:rsidTr="00275E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3" w:type="dxa"/>
            <w:vMerge/>
          </w:tcPr>
          <w:p w:rsidR="00275E65" w:rsidRDefault="00275E65">
            <w:pPr>
              <w:pStyle w:val="Artblin"/>
              <w:tabs>
                <w:tab w:val="left" w:pos="709"/>
              </w:tabs>
              <w:spacing w:line="276" w:lineRule="auto"/>
              <w:rPr>
                <w:rFonts w:ascii="Times New Roman" w:hAnsi="Times New Roman" w:cs="Times New Roman"/>
                <w:sz w:val="22"/>
                <w:lang w:eastAsia="uk-UA"/>
              </w:rPr>
            </w:pPr>
          </w:p>
        </w:tc>
        <w:tc>
          <w:tcPr>
            <w:tcW w:w="1917" w:type="dxa"/>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управління</w:t>
            </w:r>
          </w:p>
        </w:tc>
        <w:tc>
          <w:tcPr>
            <w:tcW w:w="1918" w:type="dxa"/>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регулювання</w:t>
            </w:r>
          </w:p>
        </w:tc>
        <w:tc>
          <w:tcPr>
            <w:tcW w:w="1919" w:type="dxa"/>
          </w:tcPr>
          <w:p w:rsidR="00275E65" w:rsidRDefault="00902217">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фінансування</w:t>
            </w:r>
          </w:p>
        </w:tc>
        <w:tc>
          <w:tcPr>
            <w:tcW w:w="1673" w:type="dxa"/>
            <w:vMerge/>
          </w:tcPr>
          <w:p w:rsidR="00275E65" w:rsidRDefault="00275E65">
            <w:pPr>
              <w:pStyle w:val="Artblin"/>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r>
      <w:tr w:rsidR="00275E65" w:rsidTr="00275E65">
        <w:tc>
          <w:tcPr>
            <w:cnfStyle w:val="001000000000" w:firstRow="0" w:lastRow="0" w:firstColumn="1" w:lastColumn="0" w:oddVBand="0" w:evenVBand="0" w:oddHBand="0" w:evenHBand="0" w:firstRowFirstColumn="0" w:firstRowLastColumn="0" w:lastRowFirstColumn="0" w:lastRowLastColumn="0"/>
            <w:tcW w:w="1923" w:type="dxa"/>
          </w:tcPr>
          <w:p w:rsidR="00275E65" w:rsidRDefault="00902217">
            <w:pPr>
              <w:pStyle w:val="Artblin"/>
              <w:tabs>
                <w:tab w:val="left" w:pos="709"/>
              </w:tabs>
              <w:spacing w:line="276" w:lineRule="auto"/>
              <w:rPr>
                <w:rFonts w:ascii="Times New Roman" w:hAnsi="Times New Roman" w:cs="Times New Roman"/>
                <w:sz w:val="22"/>
                <w:lang w:eastAsia="uk-UA"/>
              </w:rPr>
            </w:pPr>
            <w:r>
              <w:rPr>
                <w:rFonts w:ascii="Times New Roman" w:hAnsi="Times New Roman" w:cs="Times New Roman"/>
                <w:sz w:val="22"/>
                <w:lang w:eastAsia="uk-UA"/>
              </w:rPr>
              <w:t>Бюджет</w:t>
            </w:r>
          </w:p>
        </w:tc>
        <w:tc>
          <w:tcPr>
            <w:tcW w:w="191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прямий</w:t>
            </w:r>
          </w:p>
        </w:tc>
        <w:tc>
          <w:tcPr>
            <w:tcW w:w="1918"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прямий</w:t>
            </w:r>
          </w:p>
        </w:tc>
        <w:tc>
          <w:tcPr>
            <w:tcW w:w="1919"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прямий</w:t>
            </w:r>
          </w:p>
        </w:tc>
        <w:tc>
          <w:tcPr>
            <w:tcW w:w="1673"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r>
      <w:tr w:rsidR="00275E65" w:rsidTr="00275E65">
        <w:tc>
          <w:tcPr>
            <w:cnfStyle w:val="001000000000" w:firstRow="0" w:lastRow="0" w:firstColumn="1" w:lastColumn="0" w:oddVBand="0" w:evenVBand="0" w:oddHBand="0" w:evenHBand="0" w:firstRowFirstColumn="0" w:firstRowLastColumn="0" w:lastRowFirstColumn="0" w:lastRowLastColumn="0"/>
            <w:tcW w:w="1923" w:type="dxa"/>
          </w:tcPr>
          <w:p w:rsidR="00275E65" w:rsidRDefault="00902217">
            <w:pPr>
              <w:pStyle w:val="Artblin"/>
              <w:tabs>
                <w:tab w:val="left" w:pos="709"/>
              </w:tabs>
              <w:spacing w:line="276" w:lineRule="auto"/>
              <w:rPr>
                <w:rFonts w:ascii="Times New Roman" w:hAnsi="Times New Roman" w:cs="Times New Roman"/>
                <w:sz w:val="22"/>
                <w:lang w:eastAsia="uk-UA"/>
              </w:rPr>
            </w:pPr>
            <w:r>
              <w:rPr>
                <w:rFonts w:ascii="Times New Roman" w:hAnsi="Times New Roman" w:cs="Times New Roman"/>
                <w:sz w:val="22"/>
                <w:lang w:eastAsia="uk-UA"/>
              </w:rPr>
              <w:t>В т.ч. медицина</w:t>
            </w:r>
          </w:p>
        </w:tc>
        <w:tc>
          <w:tcPr>
            <w:tcW w:w="191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прямий</w:t>
            </w:r>
          </w:p>
        </w:tc>
        <w:tc>
          <w:tcPr>
            <w:tcW w:w="1918"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опосередкований</w:t>
            </w:r>
          </w:p>
        </w:tc>
        <w:tc>
          <w:tcPr>
            <w:tcW w:w="1919"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опосередкований</w:t>
            </w:r>
          </w:p>
        </w:tc>
        <w:tc>
          <w:tcPr>
            <w:tcW w:w="1673"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r>
      <w:tr w:rsidR="00275E65" w:rsidTr="00275E65">
        <w:tc>
          <w:tcPr>
            <w:cnfStyle w:val="001000000000" w:firstRow="0" w:lastRow="0" w:firstColumn="1" w:lastColumn="0" w:oddVBand="0" w:evenVBand="0" w:oddHBand="0" w:evenHBand="0" w:firstRowFirstColumn="0" w:firstRowLastColumn="0" w:lastRowFirstColumn="0" w:lastRowLastColumn="0"/>
            <w:tcW w:w="1923" w:type="dxa"/>
          </w:tcPr>
          <w:p w:rsidR="00275E65" w:rsidRDefault="00902217">
            <w:pPr>
              <w:pStyle w:val="Artblin"/>
              <w:tabs>
                <w:tab w:val="left" w:pos="709"/>
              </w:tabs>
              <w:spacing w:line="276" w:lineRule="auto"/>
              <w:rPr>
                <w:rFonts w:ascii="Times New Roman" w:hAnsi="Times New Roman" w:cs="Times New Roman"/>
                <w:sz w:val="22"/>
                <w:lang w:eastAsia="uk-UA"/>
              </w:rPr>
            </w:pPr>
            <w:r>
              <w:rPr>
                <w:rFonts w:ascii="Times New Roman" w:hAnsi="Times New Roman" w:cs="Times New Roman"/>
                <w:sz w:val="22"/>
                <w:lang w:eastAsia="uk-UA"/>
              </w:rPr>
              <w:t>В т.ч. освіта</w:t>
            </w:r>
          </w:p>
        </w:tc>
        <w:tc>
          <w:tcPr>
            <w:tcW w:w="191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прямий</w:t>
            </w:r>
          </w:p>
        </w:tc>
        <w:tc>
          <w:tcPr>
            <w:tcW w:w="1918"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прямий</w:t>
            </w:r>
          </w:p>
        </w:tc>
        <w:tc>
          <w:tcPr>
            <w:tcW w:w="1919"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прямий</w:t>
            </w:r>
          </w:p>
        </w:tc>
        <w:tc>
          <w:tcPr>
            <w:tcW w:w="1673"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r>
      <w:tr w:rsidR="00275E65" w:rsidTr="00275E65">
        <w:tc>
          <w:tcPr>
            <w:cnfStyle w:val="001000000000" w:firstRow="0" w:lastRow="0" w:firstColumn="1" w:lastColumn="0" w:oddVBand="0" w:evenVBand="0" w:oddHBand="0" w:evenHBand="0" w:firstRowFirstColumn="0" w:firstRowLastColumn="0" w:lastRowFirstColumn="0" w:lastRowLastColumn="0"/>
            <w:tcW w:w="1923" w:type="dxa"/>
          </w:tcPr>
          <w:p w:rsidR="00275E65" w:rsidRDefault="00902217">
            <w:pPr>
              <w:pStyle w:val="Artblin"/>
              <w:tabs>
                <w:tab w:val="left" w:pos="709"/>
              </w:tabs>
              <w:spacing w:line="276" w:lineRule="auto"/>
              <w:rPr>
                <w:rFonts w:ascii="Times New Roman" w:hAnsi="Times New Roman" w:cs="Times New Roman"/>
                <w:sz w:val="22"/>
                <w:lang w:eastAsia="uk-UA"/>
              </w:rPr>
            </w:pPr>
            <w:r>
              <w:rPr>
                <w:rFonts w:ascii="Times New Roman" w:hAnsi="Times New Roman" w:cs="Times New Roman"/>
                <w:sz w:val="22"/>
                <w:lang w:eastAsia="uk-UA"/>
              </w:rPr>
              <w:t>В т.ч. культура</w:t>
            </w:r>
          </w:p>
        </w:tc>
        <w:tc>
          <w:tcPr>
            <w:tcW w:w="191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прямий</w:t>
            </w:r>
          </w:p>
        </w:tc>
        <w:tc>
          <w:tcPr>
            <w:tcW w:w="1918"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прямий</w:t>
            </w:r>
          </w:p>
        </w:tc>
        <w:tc>
          <w:tcPr>
            <w:tcW w:w="1919"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прямий</w:t>
            </w:r>
          </w:p>
        </w:tc>
        <w:tc>
          <w:tcPr>
            <w:tcW w:w="1673"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r>
      <w:tr w:rsidR="00275E65" w:rsidTr="00275E65">
        <w:tc>
          <w:tcPr>
            <w:cnfStyle w:val="001000000000" w:firstRow="0" w:lastRow="0" w:firstColumn="1" w:lastColumn="0" w:oddVBand="0" w:evenVBand="0" w:oddHBand="0" w:evenHBand="0" w:firstRowFirstColumn="0" w:firstRowLastColumn="0" w:lastRowFirstColumn="0" w:lastRowLastColumn="0"/>
            <w:tcW w:w="1923" w:type="dxa"/>
          </w:tcPr>
          <w:p w:rsidR="00275E65" w:rsidRDefault="00902217">
            <w:pPr>
              <w:pStyle w:val="Artblin"/>
              <w:tabs>
                <w:tab w:val="left" w:pos="709"/>
              </w:tabs>
              <w:spacing w:line="276" w:lineRule="auto"/>
              <w:rPr>
                <w:rFonts w:ascii="Times New Roman" w:hAnsi="Times New Roman" w:cs="Times New Roman"/>
                <w:sz w:val="22"/>
                <w:lang w:eastAsia="uk-UA"/>
              </w:rPr>
            </w:pPr>
            <w:r>
              <w:rPr>
                <w:rFonts w:ascii="Times New Roman" w:hAnsi="Times New Roman" w:cs="Times New Roman"/>
                <w:sz w:val="22"/>
                <w:lang w:eastAsia="uk-UA"/>
              </w:rPr>
              <w:t>Житловий</w:t>
            </w:r>
          </w:p>
        </w:tc>
        <w:tc>
          <w:tcPr>
            <w:tcW w:w="191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опосередкований</w:t>
            </w:r>
          </w:p>
        </w:tc>
        <w:tc>
          <w:tcPr>
            <w:tcW w:w="1918"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опосередкований</w:t>
            </w:r>
          </w:p>
        </w:tc>
        <w:tc>
          <w:tcPr>
            <w:tcW w:w="1919"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опосередкований</w:t>
            </w:r>
          </w:p>
        </w:tc>
        <w:tc>
          <w:tcPr>
            <w:tcW w:w="1673"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r>
      <w:tr w:rsidR="00275E65" w:rsidTr="00275E65">
        <w:tc>
          <w:tcPr>
            <w:cnfStyle w:val="001000000000" w:firstRow="0" w:lastRow="0" w:firstColumn="1" w:lastColumn="0" w:oddVBand="0" w:evenVBand="0" w:oddHBand="0" w:evenHBand="0" w:firstRowFirstColumn="0" w:firstRowLastColumn="0" w:lastRowFirstColumn="0" w:lastRowLastColumn="0"/>
            <w:tcW w:w="1923" w:type="dxa"/>
          </w:tcPr>
          <w:p w:rsidR="00275E65" w:rsidRDefault="00902217">
            <w:pPr>
              <w:pStyle w:val="Artblin"/>
              <w:tabs>
                <w:tab w:val="left" w:pos="709"/>
              </w:tabs>
              <w:spacing w:line="276" w:lineRule="auto"/>
              <w:rPr>
                <w:rFonts w:ascii="Times New Roman" w:hAnsi="Times New Roman" w:cs="Times New Roman"/>
                <w:sz w:val="22"/>
                <w:lang w:eastAsia="uk-UA"/>
              </w:rPr>
            </w:pPr>
            <w:r>
              <w:rPr>
                <w:rFonts w:ascii="Times New Roman" w:hAnsi="Times New Roman" w:cs="Times New Roman"/>
                <w:sz w:val="22"/>
                <w:lang w:eastAsia="uk-UA"/>
              </w:rPr>
              <w:t>Освітлення вуличне</w:t>
            </w:r>
          </w:p>
        </w:tc>
        <w:tc>
          <w:tcPr>
            <w:tcW w:w="191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прямий</w:t>
            </w:r>
          </w:p>
        </w:tc>
        <w:tc>
          <w:tcPr>
            <w:tcW w:w="1918"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опосередкований</w:t>
            </w:r>
          </w:p>
        </w:tc>
        <w:tc>
          <w:tcPr>
            <w:tcW w:w="1919"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прямий</w:t>
            </w:r>
          </w:p>
        </w:tc>
        <w:tc>
          <w:tcPr>
            <w:tcW w:w="1673"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r>
      <w:tr w:rsidR="00275E65" w:rsidTr="00275E65">
        <w:tc>
          <w:tcPr>
            <w:cnfStyle w:val="001000000000" w:firstRow="0" w:lastRow="0" w:firstColumn="1" w:lastColumn="0" w:oddVBand="0" w:evenVBand="0" w:oddHBand="0" w:evenHBand="0" w:firstRowFirstColumn="0" w:firstRowLastColumn="0" w:lastRowFirstColumn="0" w:lastRowLastColumn="0"/>
            <w:tcW w:w="1923" w:type="dxa"/>
          </w:tcPr>
          <w:p w:rsidR="00275E65" w:rsidRDefault="00902217">
            <w:pPr>
              <w:pStyle w:val="Artblin"/>
              <w:tabs>
                <w:tab w:val="left" w:pos="709"/>
              </w:tabs>
              <w:spacing w:line="276" w:lineRule="auto"/>
              <w:rPr>
                <w:rFonts w:ascii="Times New Roman" w:hAnsi="Times New Roman" w:cs="Times New Roman"/>
                <w:sz w:val="22"/>
                <w:lang w:eastAsia="uk-UA"/>
              </w:rPr>
            </w:pPr>
            <w:r>
              <w:rPr>
                <w:rFonts w:ascii="Times New Roman" w:hAnsi="Times New Roman" w:cs="Times New Roman"/>
                <w:sz w:val="22"/>
                <w:lang w:eastAsia="uk-UA"/>
              </w:rPr>
              <w:t>Водопостачання і відвовіденення</w:t>
            </w:r>
          </w:p>
        </w:tc>
        <w:tc>
          <w:tcPr>
            <w:tcW w:w="1917"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c>
          <w:tcPr>
            <w:tcW w:w="1918"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c>
          <w:tcPr>
            <w:tcW w:w="1919"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c>
          <w:tcPr>
            <w:tcW w:w="1673"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Носівська міська рада приймає тарифи, надає</w:t>
            </w:r>
            <w:r>
              <w:rPr>
                <w:rFonts w:ascii="Times New Roman" w:hAnsi="Times New Roman" w:cs="Times New Roman"/>
                <w:sz w:val="22"/>
                <w:lang w:eastAsia="uk-UA"/>
              </w:rPr>
              <w:t xml:space="preserve"> матеріальну підтримку, контролює діяльність. Але при цьому КП має власний бюджет. Підприємство має збитки, через відсутність компенсації різниці в тарифах</w:t>
            </w:r>
          </w:p>
        </w:tc>
      </w:tr>
      <w:tr w:rsidR="00275E65" w:rsidTr="00275E65">
        <w:tc>
          <w:tcPr>
            <w:cnfStyle w:val="001000000000" w:firstRow="0" w:lastRow="0" w:firstColumn="1" w:lastColumn="0" w:oddVBand="0" w:evenVBand="0" w:oddHBand="0" w:evenHBand="0" w:firstRowFirstColumn="0" w:firstRowLastColumn="0" w:lastRowFirstColumn="0" w:lastRowLastColumn="0"/>
            <w:tcW w:w="1923" w:type="dxa"/>
          </w:tcPr>
          <w:p w:rsidR="00275E65" w:rsidRDefault="00902217">
            <w:pPr>
              <w:pStyle w:val="Artblin"/>
              <w:tabs>
                <w:tab w:val="left" w:pos="709"/>
              </w:tabs>
              <w:spacing w:line="276" w:lineRule="auto"/>
              <w:rPr>
                <w:rFonts w:ascii="Times New Roman" w:hAnsi="Times New Roman" w:cs="Times New Roman"/>
                <w:sz w:val="22"/>
                <w:lang w:eastAsia="uk-UA"/>
              </w:rPr>
            </w:pPr>
            <w:r>
              <w:rPr>
                <w:rFonts w:ascii="Times New Roman" w:hAnsi="Times New Roman" w:cs="Times New Roman"/>
                <w:sz w:val="22"/>
                <w:lang w:eastAsia="uk-UA"/>
              </w:rPr>
              <w:t>Теплопостачання</w:t>
            </w:r>
          </w:p>
        </w:tc>
        <w:tc>
          <w:tcPr>
            <w:tcW w:w="191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відсутній</w:t>
            </w:r>
          </w:p>
        </w:tc>
        <w:tc>
          <w:tcPr>
            <w:tcW w:w="1918"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відсутній</w:t>
            </w:r>
          </w:p>
        </w:tc>
        <w:tc>
          <w:tcPr>
            <w:tcW w:w="1919"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відсутній</w:t>
            </w:r>
          </w:p>
        </w:tc>
        <w:tc>
          <w:tcPr>
            <w:tcW w:w="1673"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r>
      <w:tr w:rsidR="00275E65" w:rsidTr="00275E65">
        <w:tc>
          <w:tcPr>
            <w:cnfStyle w:val="001000000000" w:firstRow="0" w:lastRow="0" w:firstColumn="1" w:lastColumn="0" w:oddVBand="0" w:evenVBand="0" w:oddHBand="0" w:evenHBand="0" w:firstRowFirstColumn="0" w:firstRowLastColumn="0" w:lastRowFirstColumn="0" w:lastRowLastColumn="0"/>
            <w:tcW w:w="1923" w:type="dxa"/>
          </w:tcPr>
          <w:p w:rsidR="00275E65" w:rsidRDefault="00902217">
            <w:pPr>
              <w:pStyle w:val="Artblin"/>
              <w:tabs>
                <w:tab w:val="left" w:pos="709"/>
              </w:tabs>
              <w:spacing w:line="276" w:lineRule="auto"/>
              <w:rPr>
                <w:rFonts w:ascii="Times New Roman" w:hAnsi="Times New Roman" w:cs="Times New Roman"/>
                <w:sz w:val="22"/>
              </w:rPr>
            </w:pPr>
            <w:r>
              <w:rPr>
                <w:rFonts w:ascii="Times New Roman" w:hAnsi="Times New Roman" w:cs="Times New Roman"/>
                <w:sz w:val="22"/>
              </w:rPr>
              <w:t>Сфера управління побутовими відходами</w:t>
            </w:r>
          </w:p>
          <w:p w:rsidR="00275E65" w:rsidRDefault="00275E65">
            <w:pPr>
              <w:pStyle w:val="Artblin"/>
              <w:tabs>
                <w:tab w:val="left" w:pos="709"/>
              </w:tabs>
              <w:spacing w:line="276" w:lineRule="auto"/>
              <w:rPr>
                <w:rFonts w:ascii="Times New Roman" w:hAnsi="Times New Roman" w:cs="Times New Roman"/>
                <w:sz w:val="22"/>
                <w:lang w:eastAsia="uk-UA"/>
              </w:rPr>
            </w:pPr>
          </w:p>
        </w:tc>
        <w:tc>
          <w:tcPr>
            <w:tcW w:w="1917"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прямий</w:t>
            </w:r>
          </w:p>
        </w:tc>
        <w:tc>
          <w:tcPr>
            <w:tcW w:w="1918"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прямий</w:t>
            </w:r>
          </w:p>
        </w:tc>
        <w:tc>
          <w:tcPr>
            <w:tcW w:w="1919" w:type="dxa"/>
          </w:tcPr>
          <w:p w:rsidR="00275E65" w:rsidRDefault="00902217">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r>
              <w:rPr>
                <w:rFonts w:ascii="Times New Roman" w:hAnsi="Times New Roman" w:cs="Times New Roman"/>
                <w:sz w:val="22"/>
                <w:lang w:eastAsia="uk-UA"/>
              </w:rPr>
              <w:t>прямий</w:t>
            </w:r>
          </w:p>
        </w:tc>
        <w:tc>
          <w:tcPr>
            <w:tcW w:w="1673" w:type="dxa"/>
          </w:tcPr>
          <w:p w:rsidR="00275E65" w:rsidRDefault="00275E65">
            <w:pPr>
              <w:pStyle w:val="Artblin"/>
              <w:tabs>
                <w:tab w:val="left" w:pos="70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eastAsia="uk-UA"/>
              </w:rPr>
            </w:pPr>
          </w:p>
        </w:tc>
      </w:tr>
    </w:tbl>
    <w:p w:rsidR="00275E65" w:rsidRDefault="00275E65">
      <w:pPr>
        <w:pStyle w:val="Arord"/>
        <w:tabs>
          <w:tab w:val="left" w:pos="709"/>
        </w:tabs>
        <w:spacing w:after="0" w:line="276" w:lineRule="auto"/>
        <w:ind w:firstLine="567"/>
        <w:rPr>
          <w:rFonts w:ascii="Times New Roman" w:hAnsi="Times New Roman" w:cs="Times New Roman"/>
          <w:sz w:val="22"/>
        </w:rPr>
      </w:pPr>
    </w:p>
    <w:p w:rsidR="00275E65" w:rsidRDefault="00902217">
      <w:pPr>
        <w:pStyle w:val="ArHead2"/>
        <w:tabs>
          <w:tab w:val="left" w:pos="709"/>
        </w:tabs>
        <w:spacing w:after="0" w:line="276" w:lineRule="auto"/>
        <w:ind w:firstLine="567"/>
        <w:rPr>
          <w:rFonts w:ascii="Times New Roman" w:hAnsi="Times New Roman" w:cs="Times New Roman"/>
          <w:sz w:val="22"/>
          <w:lang w:val="ru-RU"/>
        </w:rPr>
      </w:pPr>
      <w:bookmarkStart w:id="172" w:name="_Toc168064814"/>
      <w:r>
        <w:rPr>
          <w:rFonts w:ascii="Times New Roman" w:eastAsiaTheme="minorEastAsia" w:hAnsi="Times New Roman" w:cstheme="minorHAnsi"/>
          <w:sz w:val="22"/>
        </w:rPr>
        <w:t>Аналізу завершених, поточних і запланованих місцевих програм, інвестиційних програм комунальних підприємств та інших програм і проєктів (у тому числі за участі міжнародних фінансових організацій)</w:t>
      </w:r>
      <w:bookmarkEnd w:id="172"/>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lang w:eastAsia="ru-RU"/>
        </w:rPr>
        <w:t>За наслідками реформи</w:t>
      </w:r>
      <w:r>
        <w:rPr>
          <w:rFonts w:ascii="Times New Roman" w:eastAsiaTheme="minorEastAsia" w:hAnsi="Times New Roman" w:cstheme="minorHAnsi"/>
          <w:sz w:val="22"/>
          <w:lang w:eastAsia="ru-RU"/>
        </w:rPr>
        <w:t xml:space="preserve"> децентралізації Носівська громада повноцінно почала функціонувати з 2020 року. За цей період у громаді не були розроблені та прийняті програми чи інші документи в енергетичному секторі. Нижче надано стратегічні документи,  які діють в Носівській громаді: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 -   Стратегія розвитку Носівської об’єднаної територіальної громади на 2020-2027 роки прийнята рішенням сесії Носівської міської ради  № 3/63/</w:t>
      </w:r>
      <w:r>
        <w:rPr>
          <w:rFonts w:ascii="Times New Roman" w:eastAsiaTheme="minorEastAsia" w:hAnsi="Times New Roman" w:cstheme="minorHAnsi"/>
          <w:sz w:val="22"/>
          <w:lang w:val="en-US"/>
        </w:rPr>
        <w:t>V</w:t>
      </w:r>
      <w:r>
        <w:rPr>
          <w:rFonts w:ascii="Times New Roman" w:eastAsiaTheme="minorEastAsia" w:hAnsi="Times New Roman" w:cstheme="minorHAnsi"/>
          <w:sz w:val="22"/>
        </w:rPr>
        <w:t xml:space="preserve">ІІ від 14 лютого 2020 року яка включає в себе </w:t>
      </w:r>
      <w:hyperlink w:anchor="bookmark68" w:tooltip="#bookmark68" w:history="1">
        <w:r>
          <w:rPr>
            <w:rFonts w:ascii="Times New Roman" w:eastAsiaTheme="minorEastAsia" w:hAnsi="Times New Roman" w:cstheme="minorHAnsi"/>
            <w:sz w:val="22"/>
          </w:rPr>
          <w:t>План заходів із ре</w:t>
        </w:r>
        <w:r>
          <w:rPr>
            <w:rFonts w:ascii="Times New Roman" w:eastAsiaTheme="minorEastAsia" w:hAnsi="Times New Roman" w:cstheme="minorHAnsi"/>
            <w:sz w:val="22"/>
          </w:rPr>
          <w:t xml:space="preserve">алізації Стратегії розвитку Носівської </w:t>
        </w:r>
        <w:r>
          <w:rPr>
            <w:rFonts w:ascii="Times New Roman" w:eastAsiaTheme="minorEastAsia" w:hAnsi="Times New Roman" w:cstheme="minorHAnsi"/>
            <w:color w:val="000000"/>
            <w:sz w:val="22"/>
          </w:rPr>
          <w:t>об'єднаної</w:t>
        </w:r>
        <w:r>
          <w:rPr>
            <w:rFonts w:ascii="Times New Roman" w:eastAsiaTheme="minorEastAsia" w:hAnsi="Times New Roman" w:cstheme="minorHAnsi"/>
            <w:sz w:val="22"/>
          </w:rPr>
          <w:t xml:space="preserve"> громади на 2020-2023 рр.</w:t>
        </w:r>
        <w:r>
          <w:rPr>
            <w:rFonts w:ascii="Times New Roman" w:eastAsiaTheme="minorEastAsia" w:hAnsi="Times New Roman" w:cstheme="minorHAnsi"/>
            <w:sz w:val="22"/>
          </w:rPr>
          <w:tab/>
        </w:r>
      </w:hyperlink>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 xml:space="preserve">План (програма) соціально-економічного розвитку Носівської територіальної громади на період 2021-2023 роки прийнята рішенням сесії Носівської міської ради </w:t>
      </w:r>
      <w:r>
        <w:rPr>
          <w:rFonts w:ascii="Times New Roman" w:eastAsiaTheme="minorEastAsia" w:hAnsi="Times New Roman" w:cstheme="minorHAnsi"/>
          <w:bCs/>
          <w:sz w:val="22"/>
        </w:rPr>
        <w:t>№ 2/13/</w:t>
      </w:r>
      <w:r>
        <w:rPr>
          <w:rFonts w:ascii="Times New Roman" w:eastAsiaTheme="minorEastAsia" w:hAnsi="Times New Roman" w:cstheme="minorHAnsi"/>
          <w:bCs/>
          <w:sz w:val="22"/>
          <w:lang w:val="en-US"/>
        </w:rPr>
        <w:t>V</w:t>
      </w:r>
      <w:r>
        <w:rPr>
          <w:rFonts w:ascii="Times New Roman" w:eastAsiaTheme="minorEastAsia" w:hAnsi="Times New Roman" w:cstheme="minorHAnsi"/>
          <w:bCs/>
          <w:sz w:val="22"/>
        </w:rPr>
        <w:t>ІІІ від 13 серпня</w:t>
      </w:r>
      <w:r>
        <w:rPr>
          <w:rFonts w:ascii="Times New Roman" w:eastAsiaTheme="minorEastAsia" w:hAnsi="Times New Roman" w:cstheme="minorHAnsi"/>
          <w:bCs/>
          <w:sz w:val="22"/>
        </w:rPr>
        <w:t xml:space="preserve"> 2021 року;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bCs/>
          <w:sz w:val="22"/>
        </w:rPr>
        <w:t>В даний час триває робота над розробкою  Програми економічного і соціального розвитку Носівської міської територіальної громади на період 2024-2027 роки. А також планується  внесення змін до стратегії розвитку та  розробка Плану заходів із р</w:t>
      </w:r>
      <w:r>
        <w:rPr>
          <w:rFonts w:ascii="Times New Roman" w:eastAsiaTheme="minorEastAsia" w:hAnsi="Times New Roman" w:cstheme="minorHAnsi"/>
          <w:bCs/>
          <w:sz w:val="22"/>
        </w:rPr>
        <w:t>еалізації Стратегії розвитку Носівської об'єднаної   територіальної громади на 2024-2027 рр.</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bCs/>
          <w:sz w:val="22"/>
        </w:rPr>
        <w:t xml:space="preserve"> Подані пропозиції до Чернігівської ОДА щодо розробки Програми відновлення після отримання погодження будемо приступати  до розробки програми.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Програми фактично бу</w:t>
      </w:r>
      <w:r>
        <w:rPr>
          <w:rFonts w:ascii="Times New Roman" w:eastAsiaTheme="minorEastAsia" w:hAnsi="Times New Roman" w:cstheme="minorHAnsi"/>
          <w:sz w:val="22"/>
        </w:rPr>
        <w:t>ли на початковій стадії виконання, адже громада лише була створена та розробила їх. 24 лютого розпочалася війна, яка зруйнувала усі плани. Фактично відсутня потреба аналізувати виконання програм.</w:t>
      </w:r>
    </w:p>
    <w:p w:rsidR="00275E65" w:rsidRDefault="00275E65">
      <w:pPr>
        <w:tabs>
          <w:tab w:val="left" w:pos="709"/>
        </w:tabs>
        <w:spacing w:after="0" w:line="276" w:lineRule="auto"/>
        <w:ind w:firstLine="567"/>
        <w:rPr>
          <w:rFonts w:ascii="Times New Roman" w:hAnsi="Times New Roman" w:cs="Times New Roman"/>
          <w:lang w:val="uk-UA"/>
        </w:rPr>
      </w:pPr>
    </w:p>
    <w:p w:rsidR="00275E65" w:rsidRDefault="00902217">
      <w:pPr>
        <w:pStyle w:val="ArHead1"/>
        <w:tabs>
          <w:tab w:val="left" w:pos="709"/>
        </w:tabs>
        <w:spacing w:after="0" w:line="276" w:lineRule="auto"/>
        <w:ind w:left="0" w:firstLine="567"/>
        <w:rPr>
          <w:rFonts w:ascii="Times New Roman" w:hAnsi="Times New Roman" w:cs="Times New Roman"/>
          <w:sz w:val="22"/>
        </w:rPr>
      </w:pPr>
      <w:bookmarkStart w:id="173" w:name="_Toc168064815"/>
      <w:r>
        <w:rPr>
          <w:rFonts w:ascii="Times New Roman" w:eastAsiaTheme="minorEastAsia" w:hAnsi="Times New Roman" w:cstheme="minorHAnsi"/>
          <w:sz w:val="22"/>
        </w:rPr>
        <w:t>Цілі сталого енергетичного розвитку громади відносно базово</w:t>
      </w:r>
      <w:r>
        <w:rPr>
          <w:rFonts w:ascii="Times New Roman" w:eastAsiaTheme="minorEastAsia" w:hAnsi="Times New Roman" w:cstheme="minorHAnsi"/>
          <w:sz w:val="22"/>
        </w:rPr>
        <w:t>го року</w:t>
      </w:r>
      <w:bookmarkEnd w:id="173"/>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 xml:space="preserve">Забезпечення сталого енергетичного розвитку територіальної громади є стратегічно важливим завданням, </w:t>
      </w:r>
      <w:r>
        <w:rPr>
          <w:rFonts w:ascii="Times New Roman" w:eastAsiaTheme="minorEastAsia" w:hAnsi="Times New Roman" w:cstheme="minorHAnsi"/>
          <w:lang w:val="ru-RU"/>
        </w:rPr>
        <w:t>спрямованим на забезпечення ефективного та екологічно безпечного використання енергетичних ресурсів. Даний розділ присвячений детальному аналізу та формулюванню цілей, спрямованих на досягнення сталості в сфері енергетики Носівської територіальної громади.</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Розділ «Цілі сталого енергетичного розвитку територіальної громади» містить інформацію щодо:</w:t>
      </w:r>
    </w:p>
    <w:p w:rsidR="00275E65" w:rsidRDefault="00902217">
      <w:pPr>
        <w:pStyle w:val="aff0"/>
        <w:numPr>
          <w:ilvl w:val="0"/>
          <w:numId w:val="18"/>
        </w:numPr>
        <w:shd w:val="clear" w:color="auto" w:fill="FFFFFF"/>
        <w:tabs>
          <w:tab w:val="left" w:pos="709"/>
          <w:tab w:val="left" w:pos="851"/>
          <w:tab w:val="left" w:pos="1134"/>
          <w:tab w:val="left" w:pos="1418"/>
        </w:tabs>
        <w:spacing w:after="0" w:line="240" w:lineRule="auto"/>
        <w:ind w:left="0"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базової лінії споживання енергії на території територіальної громади у графічній та табличній формі;</w:t>
      </w:r>
    </w:p>
    <w:p w:rsidR="00275E65" w:rsidRDefault="00902217">
      <w:pPr>
        <w:pStyle w:val="aff0"/>
        <w:numPr>
          <w:ilvl w:val="0"/>
          <w:numId w:val="18"/>
        </w:numPr>
        <w:shd w:val="clear" w:color="auto" w:fill="FFFFFF"/>
        <w:tabs>
          <w:tab w:val="left" w:pos="709"/>
          <w:tab w:val="left" w:pos="851"/>
          <w:tab w:val="left" w:pos="1134"/>
          <w:tab w:val="left" w:pos="1418"/>
        </w:tabs>
        <w:spacing w:after="0" w:line="240" w:lineRule="auto"/>
        <w:ind w:left="0"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цілей сталого енергетичного розвитку територіальної громади.</w:t>
      </w:r>
    </w:p>
    <w:p w:rsidR="00275E65" w:rsidRDefault="00275E65">
      <w:pPr>
        <w:tabs>
          <w:tab w:val="left" w:pos="709"/>
        </w:tabs>
        <w:ind w:firstLine="567"/>
        <w:jc w:val="both"/>
        <w:rPr>
          <w:rFonts w:ascii="Times New Roman" w:eastAsia="Times New Roman" w:hAnsi="Times New Roman" w:cs="Times New Roman"/>
          <w:b/>
          <w:bCs/>
          <w:lang w:val="ru-RU"/>
        </w:rPr>
      </w:pPr>
    </w:p>
    <w:p w:rsidR="00275E65" w:rsidRDefault="00902217">
      <w:pPr>
        <w:tabs>
          <w:tab w:val="left" w:pos="709"/>
        </w:tabs>
        <w:ind w:firstLine="567"/>
        <w:jc w:val="both"/>
        <w:rPr>
          <w:rFonts w:ascii="Times New Roman" w:eastAsia="Times New Roman" w:hAnsi="Times New Roman" w:cs="Times New Roman"/>
          <w:b/>
          <w:bCs/>
          <w:lang w:val="ru-RU"/>
        </w:rPr>
      </w:pPr>
      <w:r>
        <w:rPr>
          <w:rFonts w:ascii="Times New Roman" w:eastAsiaTheme="minorEastAsia" w:hAnsi="Times New Roman" w:cstheme="minorHAnsi"/>
          <w:b/>
          <w:bCs/>
          <w:lang w:val="ru-RU"/>
        </w:rPr>
        <w:t>Базова лінія споживання енергії на території територіальної громади</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Споживання енергії визначає та формує темп розвитку кожної територіальної громади, впливаючи на її сталість та економічну життєздатність. Для вивчення, прогнозування та управління цим важ</w:t>
      </w:r>
      <w:r>
        <w:rPr>
          <w:rFonts w:ascii="Times New Roman" w:eastAsiaTheme="minorEastAsia" w:hAnsi="Times New Roman" w:cstheme="minorHAnsi"/>
          <w:lang w:val="ru-RU"/>
        </w:rPr>
        <w:t>ливим аспектом енергетичної системи, вживається підхід, відомий як "Базова лінія споживання енергії".</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Базова лінія, яка відображає прогноз споживання енергії на кінець періоду енергетичного планування, є не лише числовим виразником енергетичних потреб, але</w:t>
      </w:r>
      <w:r>
        <w:rPr>
          <w:rFonts w:ascii="Times New Roman" w:eastAsiaTheme="minorEastAsia" w:hAnsi="Times New Roman" w:cstheme="minorHAnsi"/>
          <w:lang w:val="ru-RU"/>
        </w:rPr>
        <w:t xml:space="preserve"> й стратегічним інструментом для визначення цілей сталого енергетичного розвитку. Зрозуміло, що визначення цих цілей та їх ефективне досягнення неможливі без точного розуміння, що стоїть в основі поточних та майбутніх енергетичних потреб.</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Базова лінія форм</w:t>
      </w:r>
      <w:r>
        <w:rPr>
          <w:rFonts w:ascii="Times New Roman" w:eastAsiaTheme="minorEastAsia" w:hAnsi="Times New Roman" w:cstheme="minorHAnsi"/>
          <w:lang w:val="ru-RU"/>
        </w:rPr>
        <w:t>ується на основі тренду енергетичного балансу, пристосованого до показників демографічного та економічного прогнозу розвитку територіальної громади. Цей інтегрований підхід дозволяє не лише враховувати поточні споживчі тенденції, але й передбачити вплив зм</w:t>
      </w:r>
      <w:r>
        <w:rPr>
          <w:rFonts w:ascii="Times New Roman" w:eastAsiaTheme="minorEastAsia" w:hAnsi="Times New Roman" w:cstheme="minorHAnsi"/>
          <w:lang w:val="ru-RU"/>
        </w:rPr>
        <w:t>ін у соціально-економічному оточенні на майбутнє споживання енергії. Даний розділ розглядається як ключовий етап у побудові та управлінні енергетичною майбутністю територіальної громади, враховуючи як минулий досвід споживання енергії, так і перспективи ро</w:t>
      </w:r>
      <w:r>
        <w:rPr>
          <w:rFonts w:ascii="Times New Roman" w:eastAsiaTheme="minorEastAsia" w:hAnsi="Times New Roman" w:cstheme="minorHAnsi"/>
          <w:lang w:val="ru-RU"/>
        </w:rPr>
        <w:t>звитку.</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Показники Базової лінії виражені в МВт</w:t>
      </w:r>
      <w:r>
        <w:rPr>
          <w:rFonts w:ascii="Cambria Math" w:eastAsiaTheme="minorEastAsia" w:hAnsi="Cambria Math" w:cstheme="minorHAnsi"/>
          <w:lang w:val="ru-RU"/>
        </w:rPr>
        <w:t>⋅</w:t>
      </w:r>
      <w:r>
        <w:rPr>
          <w:rFonts w:ascii="Times New Roman" w:eastAsiaTheme="minorEastAsia" w:hAnsi="Times New Roman" w:cstheme="minorHAnsi"/>
          <w:lang w:val="ru-RU"/>
        </w:rPr>
        <w:t>год, що дозволяє здійснити зрозумілу та зручну для порівняння метрику. Ці дані необхідні для ефективної оцінки та моніторингу впровадження заходів, передбачених у муніципальному енергетичному плані, та для пос</w:t>
      </w:r>
      <w:r>
        <w:rPr>
          <w:rFonts w:ascii="Times New Roman" w:eastAsiaTheme="minorEastAsia" w:hAnsi="Times New Roman" w:cstheme="minorHAnsi"/>
          <w:lang w:val="ru-RU"/>
        </w:rPr>
        <w:t>тійного вдосконалення стратегії розвитку територіальної громади.</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Оцінки ефективності проектів розвитку міста виконуються на основі базової лінії – прогнозного сценарію економічного розвитку при умові, що всі існуючи тенденції та політика будуть незмінні ві</w:t>
      </w:r>
      <w:r>
        <w:rPr>
          <w:rFonts w:ascii="Times New Roman" w:eastAsiaTheme="minorEastAsia" w:hAnsi="Times New Roman" w:cstheme="minorHAnsi"/>
          <w:lang w:val="ru-RU"/>
        </w:rPr>
        <w:t>дносно 2023 року.</w:t>
      </w:r>
    </w:p>
    <w:p w:rsidR="00275E65" w:rsidRDefault="00902217">
      <w:pPr>
        <w:tabs>
          <w:tab w:val="left" w:pos="709"/>
        </w:tabs>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Базовий неінвестиційний сценарій показує, як розвиваються потреби міста у паливо-енергетичних ресурсах без модернізації будівель, систем тепло-, електро-, газо- та водопостачання. Він служить вихідною точкою для оцінки результатів та насл</w:t>
      </w:r>
      <w:r>
        <w:rPr>
          <w:rFonts w:ascii="Times New Roman" w:eastAsiaTheme="minorEastAsia" w:hAnsi="Times New Roman" w:cstheme="minorHAnsi"/>
          <w:lang w:val="ru-RU"/>
        </w:rPr>
        <w:t>ідків реалізації МЕП, що дорівнює різниці між початковим (вихідним) станом і станом після завершення програм МЕП.</w:t>
      </w:r>
    </w:p>
    <w:p w:rsidR="00275E65" w:rsidRDefault="00902217">
      <w:pPr>
        <w:tabs>
          <w:tab w:val="left" w:pos="709"/>
        </w:tabs>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Створення паливно-енергетичних та вартісних балансів демографічний прогноз на базі реалістичного варіанту розвитку. За період з 2017 року насе</w:t>
      </w:r>
      <w:r>
        <w:rPr>
          <w:rFonts w:ascii="Times New Roman" w:eastAsiaTheme="minorEastAsia" w:hAnsi="Times New Roman" w:cstheme="minorHAnsi"/>
          <w:lang w:val="ru-RU"/>
        </w:rPr>
        <w:t xml:space="preserve">лення міста зменшилось на 822  чоловік - з 20,401 до 19,579 тис. чол. Найбільш вірогідно що населення міста буде знижуватись приблизно на 200 чоловік щорічно, на 1 %. </w:t>
      </w:r>
    </w:p>
    <w:p w:rsidR="00275E65" w:rsidRDefault="00275E65">
      <w:pPr>
        <w:tabs>
          <w:tab w:val="left" w:pos="709"/>
        </w:tabs>
        <w:ind w:firstLine="567"/>
        <w:jc w:val="both"/>
        <w:rPr>
          <w:rFonts w:ascii="Times New Roman" w:eastAsia="Times New Roman" w:hAnsi="Times New Roman" w:cs="Times New Roman"/>
          <w:b/>
          <w:bCs/>
          <w:lang w:val="ru-RU"/>
        </w:rPr>
      </w:pPr>
    </w:p>
    <w:p w:rsidR="00275E65" w:rsidRDefault="00902217">
      <w:pPr>
        <w:tabs>
          <w:tab w:val="left" w:pos="709"/>
        </w:tabs>
        <w:ind w:firstLine="567"/>
        <w:jc w:val="both"/>
        <w:rPr>
          <w:rFonts w:ascii="Times New Roman" w:eastAsia="Times New Roman" w:hAnsi="Times New Roman" w:cs="Times New Roman"/>
          <w:lang w:val="ru-RU"/>
        </w:rPr>
      </w:pPr>
      <w:r>
        <w:rPr>
          <w:rFonts w:ascii="Times New Roman" w:eastAsiaTheme="minorEastAsia" w:hAnsi="Times New Roman" w:cstheme="minorHAnsi"/>
          <w:b/>
          <w:bCs/>
          <w:lang w:val="ru-RU"/>
        </w:rPr>
        <w:t xml:space="preserve">Громадські будівлі. </w:t>
      </w:r>
      <w:r>
        <w:rPr>
          <w:rFonts w:ascii="Times New Roman" w:eastAsiaTheme="minorEastAsia" w:hAnsi="Times New Roman" w:cstheme="minorHAnsi"/>
          <w:lang w:val="ru-RU"/>
        </w:rPr>
        <w:t>Не дивлячись на зменшення кількості населення, змін споживання енер</w:t>
      </w:r>
      <w:r>
        <w:rPr>
          <w:rFonts w:ascii="Times New Roman" w:eastAsiaTheme="minorEastAsia" w:hAnsi="Times New Roman" w:cstheme="minorHAnsi"/>
          <w:lang w:val="ru-RU"/>
        </w:rPr>
        <w:t>гетичних ресурсів в секторі громадських будівель не передбачається, рівень споживання очікується на тому ж рівні.</w:t>
      </w:r>
    </w:p>
    <w:p w:rsidR="00275E65" w:rsidRDefault="00902217">
      <w:pPr>
        <w:tabs>
          <w:tab w:val="left" w:pos="709"/>
        </w:tabs>
        <w:jc w:val="both"/>
        <w:rPr>
          <w:rFonts w:ascii="Times New Roman" w:eastAsia="Times New Roman" w:hAnsi="Times New Roman" w:cs="Times New Roman"/>
        </w:rPr>
      </w:pPr>
      <w:r>
        <w:rPr>
          <w:rFonts w:ascii="Times New Roman" w:eastAsiaTheme="minorEastAsia" w:hAnsi="Times New Roman" w:cstheme="minorHAnsi"/>
          <w:noProof/>
          <w:lang w:val="ru-RU" w:eastAsia="ru-RU"/>
        </w:rPr>
        <w:drawing>
          <wp:inline distT="0" distB="0" distL="0" distR="0">
            <wp:extent cx="5940425" cy="2172335"/>
            <wp:effectExtent l="0" t="0" r="3175" b="18415"/>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75E65" w:rsidRDefault="00902217">
      <w:pPr>
        <w:pStyle w:val="ArPic"/>
        <w:numPr>
          <w:ilvl w:val="0"/>
          <w:numId w:val="19"/>
        </w:numPr>
        <w:tabs>
          <w:tab w:val="left" w:pos="709"/>
        </w:tabs>
        <w:ind w:left="0" w:firstLine="567"/>
        <w:jc w:val="both"/>
        <w:rPr>
          <w:rFonts w:ascii="Times New Roman" w:hAnsi="Times New Roman" w:cs="Times New Roman"/>
          <w:sz w:val="22"/>
        </w:rPr>
      </w:pPr>
      <w:bookmarkStart w:id="174" w:name="_Toc168064891"/>
      <w:r>
        <w:rPr>
          <w:rFonts w:ascii="Times New Roman" w:eastAsiaTheme="minorEastAsia" w:hAnsi="Times New Roman" w:cstheme="minorHAnsi"/>
          <w:sz w:val="22"/>
        </w:rPr>
        <w:t>Базова лінія споживання енергії сектору громадські будівлі.</w:t>
      </w:r>
      <w:bookmarkEnd w:id="174"/>
    </w:p>
    <w:p w:rsidR="00275E65" w:rsidRDefault="00902217">
      <w:pPr>
        <w:tabs>
          <w:tab w:val="left" w:pos="709"/>
        </w:tabs>
        <w:ind w:firstLine="567"/>
        <w:jc w:val="both"/>
        <w:rPr>
          <w:rFonts w:ascii="Times New Roman" w:eastAsia="Times New Roman" w:hAnsi="Times New Roman" w:cs="Times New Roman"/>
        </w:rPr>
      </w:pPr>
      <w:r>
        <w:rPr>
          <w:rFonts w:ascii="Times New Roman" w:eastAsiaTheme="minorEastAsia" w:hAnsi="Times New Roman" w:cstheme="minorHAnsi"/>
          <w:b/>
          <w:bCs/>
          <w:lang w:val="ru-RU"/>
        </w:rPr>
        <w:t>Житлові будівлі.</w:t>
      </w:r>
      <w:r>
        <w:rPr>
          <w:rFonts w:ascii="Times New Roman" w:eastAsiaTheme="minorEastAsia" w:hAnsi="Times New Roman" w:cstheme="minorHAnsi"/>
          <w:lang w:val="ru-RU"/>
        </w:rPr>
        <w:t xml:space="preserve"> Споживання теплової енергії знизиться на 1% щорічно за рахунок </w:t>
      </w:r>
      <w:r>
        <w:rPr>
          <w:rFonts w:ascii="Times New Roman" w:eastAsiaTheme="minorEastAsia" w:hAnsi="Times New Roman" w:cstheme="minorHAnsi"/>
          <w:lang w:val="ru-RU"/>
        </w:rPr>
        <w:t>зменшення попиту на гарячу воду та зниження численності населення в період 2024 – 2030 рр. Тенденція зростання споживання електричної енергії населенням залежить від збільшення встановлення кількості побутових електроприладів та заміни старого не ефективно</w:t>
      </w:r>
      <w:r>
        <w:rPr>
          <w:rFonts w:ascii="Times New Roman" w:eastAsiaTheme="minorEastAsia" w:hAnsi="Times New Roman" w:cstheme="minorHAnsi"/>
          <w:lang w:val="ru-RU"/>
        </w:rPr>
        <w:t xml:space="preserve">го обладнання на більш нове та ефективне. </w:t>
      </w:r>
      <w:r>
        <w:rPr>
          <w:rFonts w:ascii="Times New Roman" w:eastAsiaTheme="minorEastAsia" w:hAnsi="Times New Roman" w:cstheme="minorHAnsi"/>
        </w:rPr>
        <w:t>Очікуване зменшення споживання 1% щороку.</w:t>
      </w:r>
    </w:p>
    <w:p w:rsidR="00275E65" w:rsidRDefault="00902217">
      <w:pPr>
        <w:tabs>
          <w:tab w:val="left" w:pos="709"/>
        </w:tabs>
        <w:jc w:val="both"/>
        <w:rPr>
          <w:rFonts w:ascii="Times New Roman" w:eastAsia="Times New Roman" w:hAnsi="Times New Roman" w:cs="Times New Roman"/>
          <w:b/>
          <w:bCs/>
        </w:rPr>
      </w:pPr>
      <w:r>
        <w:rPr>
          <w:rFonts w:ascii="Times New Roman" w:eastAsiaTheme="minorEastAsia" w:hAnsi="Times New Roman" w:cstheme="minorHAnsi"/>
          <w:noProof/>
          <w:lang w:val="ru-RU" w:eastAsia="ru-RU"/>
        </w:rPr>
        <w:drawing>
          <wp:inline distT="0" distB="0" distL="0" distR="0">
            <wp:extent cx="5940425" cy="1750695"/>
            <wp:effectExtent l="0" t="0" r="3175" b="1905"/>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75E65" w:rsidRDefault="00902217">
      <w:pPr>
        <w:pStyle w:val="ArPic"/>
        <w:numPr>
          <w:ilvl w:val="0"/>
          <w:numId w:val="19"/>
        </w:numPr>
        <w:tabs>
          <w:tab w:val="left" w:pos="709"/>
        </w:tabs>
        <w:ind w:left="0" w:firstLine="567"/>
        <w:jc w:val="both"/>
        <w:rPr>
          <w:rFonts w:ascii="Times New Roman" w:hAnsi="Times New Roman" w:cs="Times New Roman"/>
          <w:sz w:val="22"/>
        </w:rPr>
      </w:pPr>
      <w:bookmarkStart w:id="175" w:name="_Toc168064892"/>
      <w:r>
        <w:rPr>
          <w:rFonts w:ascii="Times New Roman" w:eastAsiaTheme="minorEastAsia" w:hAnsi="Times New Roman" w:cstheme="minorHAnsi"/>
          <w:sz w:val="22"/>
        </w:rPr>
        <w:t>Базова лінія споживання енергії сектору житлові будівлі.</w:t>
      </w:r>
      <w:bookmarkEnd w:id="175"/>
    </w:p>
    <w:p w:rsidR="00275E65" w:rsidRDefault="00275E65">
      <w:pPr>
        <w:tabs>
          <w:tab w:val="left" w:pos="709"/>
        </w:tabs>
        <w:ind w:firstLine="567"/>
        <w:jc w:val="both"/>
        <w:rPr>
          <w:rFonts w:ascii="Times New Roman" w:eastAsia="Times New Roman" w:hAnsi="Times New Roman" w:cs="Times New Roman"/>
          <w:b/>
          <w:bCs/>
          <w:lang w:val="ru-RU"/>
        </w:rPr>
      </w:pPr>
    </w:p>
    <w:p w:rsidR="00275E65" w:rsidRDefault="00902217">
      <w:pPr>
        <w:tabs>
          <w:tab w:val="left" w:pos="709"/>
        </w:tabs>
        <w:ind w:firstLine="567"/>
        <w:jc w:val="both"/>
        <w:rPr>
          <w:rFonts w:ascii="Times New Roman" w:eastAsia="Times New Roman" w:hAnsi="Times New Roman" w:cs="Times New Roman"/>
          <w:lang w:val="ru-RU"/>
        </w:rPr>
      </w:pPr>
      <w:r>
        <w:rPr>
          <w:rFonts w:ascii="Times New Roman" w:eastAsiaTheme="minorEastAsia" w:hAnsi="Times New Roman" w:cstheme="minorHAnsi"/>
          <w:b/>
          <w:bCs/>
          <w:lang w:val="ru-RU"/>
        </w:rPr>
        <w:t xml:space="preserve">Сектор теплопостачання. </w:t>
      </w:r>
      <w:r>
        <w:rPr>
          <w:rFonts w:ascii="Times New Roman" w:eastAsiaTheme="minorEastAsia" w:hAnsi="Times New Roman" w:cstheme="minorHAnsi"/>
          <w:lang w:val="ru-RU"/>
        </w:rPr>
        <w:t>Змін споживання енергетичних ресурсів в секторі теплопостачання не передбачається, рівень споживання очікується на тому ж рівні.</w:t>
      </w:r>
    </w:p>
    <w:p w:rsidR="00275E65" w:rsidRDefault="00902217">
      <w:pPr>
        <w:tabs>
          <w:tab w:val="left" w:pos="709"/>
        </w:tabs>
        <w:jc w:val="both"/>
        <w:rPr>
          <w:rFonts w:ascii="Times New Roman" w:eastAsia="Times New Roman" w:hAnsi="Times New Roman" w:cs="Times New Roman"/>
        </w:rPr>
      </w:pPr>
      <w:r>
        <w:rPr>
          <w:rFonts w:ascii="Times New Roman" w:eastAsiaTheme="minorEastAsia" w:hAnsi="Times New Roman" w:cstheme="minorHAnsi"/>
          <w:noProof/>
          <w:lang w:val="ru-RU" w:eastAsia="ru-RU"/>
        </w:rPr>
        <w:drawing>
          <wp:inline distT="0" distB="0" distL="0" distR="0">
            <wp:extent cx="5940425" cy="1750695"/>
            <wp:effectExtent l="0" t="0" r="3175" b="1905"/>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75E65" w:rsidRDefault="00902217">
      <w:pPr>
        <w:pStyle w:val="ArPic"/>
        <w:numPr>
          <w:ilvl w:val="0"/>
          <w:numId w:val="19"/>
        </w:numPr>
        <w:tabs>
          <w:tab w:val="left" w:pos="709"/>
        </w:tabs>
        <w:ind w:left="0" w:firstLine="567"/>
        <w:jc w:val="both"/>
        <w:rPr>
          <w:rFonts w:ascii="Times New Roman" w:hAnsi="Times New Roman" w:cs="Times New Roman"/>
          <w:sz w:val="22"/>
        </w:rPr>
      </w:pPr>
      <w:bookmarkStart w:id="176" w:name="_Toc168064893"/>
      <w:r>
        <w:rPr>
          <w:rFonts w:ascii="Times New Roman" w:eastAsiaTheme="minorEastAsia" w:hAnsi="Times New Roman" w:cstheme="minorHAnsi"/>
          <w:sz w:val="22"/>
        </w:rPr>
        <w:t>Базова лінія споживання енергії сектору теплопостачання.</w:t>
      </w:r>
      <w:bookmarkEnd w:id="176"/>
    </w:p>
    <w:p w:rsidR="00275E65" w:rsidRDefault="00902217">
      <w:pPr>
        <w:tabs>
          <w:tab w:val="left" w:pos="709"/>
        </w:tabs>
        <w:ind w:firstLine="567"/>
        <w:jc w:val="both"/>
        <w:rPr>
          <w:rFonts w:ascii="Times New Roman" w:eastAsia="Times New Roman" w:hAnsi="Times New Roman" w:cs="Times New Roman"/>
          <w:lang w:val="ru-RU"/>
        </w:rPr>
      </w:pPr>
      <w:r>
        <w:rPr>
          <w:rFonts w:ascii="Times New Roman" w:eastAsiaTheme="minorEastAsia" w:hAnsi="Times New Roman" w:cstheme="minorHAnsi"/>
          <w:b/>
          <w:bCs/>
          <w:lang w:val="ru-RU"/>
        </w:rPr>
        <w:t xml:space="preserve">Сектор водопостачання і водовідведення. </w:t>
      </w:r>
      <w:r>
        <w:rPr>
          <w:rFonts w:ascii="Times New Roman" w:eastAsiaTheme="minorEastAsia" w:hAnsi="Times New Roman" w:cstheme="minorHAnsi"/>
          <w:lang w:val="ru-RU"/>
        </w:rPr>
        <w:t>Зниження норм споживання пит</w:t>
      </w:r>
      <w:r>
        <w:rPr>
          <w:rFonts w:ascii="Times New Roman" w:eastAsiaTheme="minorEastAsia" w:hAnsi="Times New Roman" w:cstheme="minorHAnsi"/>
          <w:lang w:val="ru-RU"/>
        </w:rPr>
        <w:t>ної води та зменшення численності населення міста прогнозовано призведе до скорочення споживання електроенергії підприємством водоканалу на 1 % щороку до 2030 року.</w:t>
      </w:r>
    </w:p>
    <w:p w:rsidR="00275E65" w:rsidRDefault="00902217">
      <w:pPr>
        <w:tabs>
          <w:tab w:val="left" w:pos="709"/>
        </w:tabs>
        <w:jc w:val="both"/>
        <w:rPr>
          <w:rFonts w:ascii="Times New Roman" w:eastAsia="Times New Roman" w:hAnsi="Times New Roman" w:cs="Times New Roman"/>
        </w:rPr>
      </w:pPr>
      <w:r>
        <w:rPr>
          <w:rFonts w:ascii="Times New Roman" w:eastAsiaTheme="minorEastAsia" w:hAnsi="Times New Roman" w:cstheme="minorHAnsi"/>
          <w:noProof/>
          <w:lang w:val="ru-RU" w:eastAsia="ru-RU"/>
        </w:rPr>
        <w:drawing>
          <wp:inline distT="0" distB="0" distL="0" distR="0">
            <wp:extent cx="5940425" cy="1750695"/>
            <wp:effectExtent l="0" t="0" r="3175" b="1905"/>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75E65" w:rsidRDefault="00902217">
      <w:pPr>
        <w:pStyle w:val="ArPic"/>
        <w:numPr>
          <w:ilvl w:val="0"/>
          <w:numId w:val="19"/>
        </w:numPr>
        <w:tabs>
          <w:tab w:val="left" w:pos="709"/>
        </w:tabs>
        <w:ind w:left="0" w:firstLine="567"/>
        <w:jc w:val="both"/>
        <w:rPr>
          <w:rFonts w:ascii="Times New Roman" w:hAnsi="Times New Roman" w:cs="Times New Roman"/>
          <w:sz w:val="22"/>
        </w:rPr>
      </w:pPr>
      <w:bookmarkStart w:id="177" w:name="_Toc168064894"/>
      <w:r>
        <w:rPr>
          <w:rFonts w:ascii="Times New Roman" w:eastAsiaTheme="minorEastAsia" w:hAnsi="Times New Roman" w:cstheme="minorHAnsi"/>
          <w:sz w:val="22"/>
        </w:rPr>
        <w:t>Базова лінія споживання енергії сектору водопостачання і водовідведення.</w:t>
      </w:r>
      <w:bookmarkEnd w:id="177"/>
    </w:p>
    <w:p w:rsidR="00275E65" w:rsidRDefault="00902217">
      <w:pPr>
        <w:tabs>
          <w:tab w:val="left" w:pos="709"/>
        </w:tabs>
        <w:ind w:firstLine="567"/>
        <w:jc w:val="both"/>
        <w:rPr>
          <w:rFonts w:ascii="Times New Roman" w:eastAsia="Times New Roman" w:hAnsi="Times New Roman" w:cs="Times New Roman"/>
          <w:lang w:val="ru-RU"/>
        </w:rPr>
      </w:pPr>
      <w:r>
        <w:rPr>
          <w:rFonts w:ascii="Times New Roman" w:eastAsiaTheme="minorEastAsia" w:hAnsi="Times New Roman" w:cstheme="minorHAnsi"/>
          <w:b/>
          <w:bCs/>
          <w:lang w:val="ru-RU"/>
        </w:rPr>
        <w:t>Сектор управлінн</w:t>
      </w:r>
      <w:r>
        <w:rPr>
          <w:rFonts w:ascii="Times New Roman" w:eastAsiaTheme="minorEastAsia" w:hAnsi="Times New Roman" w:cstheme="minorHAnsi"/>
          <w:b/>
          <w:bCs/>
          <w:lang w:val="ru-RU"/>
        </w:rPr>
        <w:t xml:space="preserve">я побутовими відходами. </w:t>
      </w:r>
      <w:r>
        <w:rPr>
          <w:rFonts w:ascii="Times New Roman" w:eastAsiaTheme="minorEastAsia" w:hAnsi="Times New Roman" w:cstheme="minorHAnsi"/>
          <w:lang w:val="ru-RU"/>
        </w:rPr>
        <w:t>Змін споживання енергетичних ресурсів в секторі управління побутовими відходами не передбачається, рівень споживання очікується на тому ж рівні.</w:t>
      </w:r>
    </w:p>
    <w:p w:rsidR="00275E65" w:rsidRDefault="00902217">
      <w:pPr>
        <w:tabs>
          <w:tab w:val="left" w:pos="709"/>
        </w:tabs>
        <w:jc w:val="both"/>
        <w:rPr>
          <w:rFonts w:ascii="Times New Roman" w:eastAsia="Times New Roman" w:hAnsi="Times New Roman" w:cs="Times New Roman"/>
        </w:rPr>
      </w:pPr>
      <w:r>
        <w:rPr>
          <w:rFonts w:ascii="Times New Roman" w:eastAsiaTheme="minorEastAsia" w:hAnsi="Times New Roman" w:cstheme="minorHAnsi"/>
          <w:noProof/>
          <w:lang w:val="ru-RU" w:eastAsia="ru-RU"/>
        </w:rPr>
        <w:drawing>
          <wp:inline distT="0" distB="0" distL="0" distR="0">
            <wp:extent cx="5940425" cy="1750695"/>
            <wp:effectExtent l="0" t="0" r="3175" b="1905"/>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75E65" w:rsidRDefault="00902217">
      <w:pPr>
        <w:pStyle w:val="ArPic"/>
        <w:numPr>
          <w:ilvl w:val="0"/>
          <w:numId w:val="19"/>
        </w:numPr>
        <w:tabs>
          <w:tab w:val="left" w:pos="709"/>
        </w:tabs>
        <w:ind w:left="0" w:firstLine="567"/>
        <w:jc w:val="both"/>
        <w:rPr>
          <w:rFonts w:ascii="Times New Roman" w:hAnsi="Times New Roman" w:cs="Times New Roman"/>
          <w:sz w:val="22"/>
        </w:rPr>
      </w:pPr>
      <w:bookmarkStart w:id="178" w:name="_Toc168064895"/>
      <w:r>
        <w:rPr>
          <w:rFonts w:ascii="Times New Roman" w:eastAsiaTheme="minorEastAsia" w:hAnsi="Times New Roman" w:cstheme="minorHAnsi"/>
          <w:sz w:val="22"/>
        </w:rPr>
        <w:t>Базова лінія споживання енергії сектору управління побутовими відходами.</w:t>
      </w:r>
      <w:bookmarkEnd w:id="178"/>
    </w:p>
    <w:p w:rsidR="00275E65" w:rsidRDefault="00902217">
      <w:pPr>
        <w:tabs>
          <w:tab w:val="left" w:pos="709"/>
        </w:tabs>
        <w:ind w:firstLine="567"/>
        <w:jc w:val="both"/>
        <w:rPr>
          <w:rFonts w:ascii="Times New Roman" w:eastAsia="Times New Roman" w:hAnsi="Times New Roman" w:cs="Times New Roman"/>
          <w:lang w:val="ru-RU"/>
        </w:rPr>
      </w:pPr>
      <w:r>
        <w:rPr>
          <w:rFonts w:ascii="Times New Roman" w:eastAsiaTheme="minorEastAsia" w:hAnsi="Times New Roman" w:cstheme="minorHAnsi"/>
          <w:b/>
          <w:bCs/>
          <w:lang w:val="ru-RU"/>
        </w:rPr>
        <w:t>Зовнішнє осв</w:t>
      </w:r>
      <w:r>
        <w:rPr>
          <w:rFonts w:ascii="Times New Roman" w:eastAsiaTheme="minorEastAsia" w:hAnsi="Times New Roman" w:cstheme="minorHAnsi"/>
          <w:b/>
          <w:bCs/>
          <w:lang w:val="ru-RU"/>
        </w:rPr>
        <w:t>ітлення</w:t>
      </w:r>
      <w:r>
        <w:rPr>
          <w:rFonts w:ascii="Times New Roman" w:eastAsiaTheme="minorEastAsia" w:hAnsi="Times New Roman" w:cstheme="minorHAnsi"/>
          <w:lang w:val="ru-RU"/>
        </w:rPr>
        <w:t>. Змін споживання енергетичних ресурсів в секторі зовнішнього освітлення не передбачається, рівень споживання очікується на тому ж рівні.</w:t>
      </w:r>
    </w:p>
    <w:p w:rsidR="00275E65" w:rsidRDefault="00902217">
      <w:pPr>
        <w:tabs>
          <w:tab w:val="left" w:pos="709"/>
        </w:tabs>
        <w:jc w:val="both"/>
        <w:rPr>
          <w:rFonts w:ascii="Times New Roman" w:eastAsia="Times New Roman" w:hAnsi="Times New Roman" w:cs="Times New Roman"/>
        </w:rPr>
      </w:pPr>
      <w:r>
        <w:rPr>
          <w:rFonts w:ascii="Times New Roman" w:eastAsiaTheme="minorEastAsia" w:hAnsi="Times New Roman" w:cstheme="minorHAnsi"/>
          <w:noProof/>
          <w:lang w:val="ru-RU" w:eastAsia="ru-RU"/>
        </w:rPr>
        <w:drawing>
          <wp:inline distT="0" distB="0" distL="0" distR="0">
            <wp:extent cx="5940425" cy="1750695"/>
            <wp:effectExtent l="0" t="0" r="3175" b="1905"/>
            <wp:docPr id="5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75E65" w:rsidRDefault="00902217">
      <w:pPr>
        <w:pStyle w:val="ArPic"/>
        <w:numPr>
          <w:ilvl w:val="0"/>
          <w:numId w:val="19"/>
        </w:numPr>
        <w:tabs>
          <w:tab w:val="left" w:pos="709"/>
        </w:tabs>
        <w:ind w:left="0" w:firstLine="567"/>
        <w:jc w:val="both"/>
        <w:rPr>
          <w:rFonts w:ascii="Times New Roman" w:hAnsi="Times New Roman" w:cs="Times New Roman"/>
          <w:sz w:val="22"/>
        </w:rPr>
      </w:pPr>
      <w:bookmarkStart w:id="179" w:name="_Toc168064896"/>
      <w:r>
        <w:rPr>
          <w:rFonts w:ascii="Times New Roman" w:eastAsiaTheme="minorEastAsia" w:hAnsi="Times New Roman" w:cstheme="minorHAnsi"/>
          <w:sz w:val="22"/>
        </w:rPr>
        <w:t>Базова лінія споживання енергії зовнішнє освітлення.</w:t>
      </w:r>
      <w:bookmarkEnd w:id="179"/>
    </w:p>
    <w:p w:rsidR="00275E65" w:rsidRDefault="00902217">
      <w:pPr>
        <w:tabs>
          <w:tab w:val="left" w:pos="709"/>
        </w:tabs>
        <w:ind w:firstLine="567"/>
        <w:jc w:val="both"/>
        <w:rPr>
          <w:rFonts w:ascii="Times New Roman" w:eastAsia="Times New Roman" w:hAnsi="Times New Roman" w:cs="Times New Roman"/>
          <w:lang w:val="ru-RU"/>
        </w:rPr>
      </w:pPr>
      <w:r>
        <w:rPr>
          <w:rFonts w:ascii="Times New Roman" w:eastAsiaTheme="minorEastAsia" w:hAnsi="Times New Roman" w:cstheme="minorHAnsi"/>
          <w:b/>
          <w:bCs/>
          <w:lang w:val="ru-RU"/>
        </w:rPr>
        <w:t>Громадський транспорт.</w:t>
      </w:r>
      <w:r>
        <w:rPr>
          <w:rFonts w:ascii="Times New Roman" w:eastAsiaTheme="minorEastAsia" w:hAnsi="Times New Roman" w:cstheme="minorHAnsi"/>
          <w:lang w:val="ru-RU"/>
        </w:rPr>
        <w:t xml:space="preserve"> Змін споживання енергетичних ресу</w:t>
      </w:r>
      <w:r>
        <w:rPr>
          <w:rFonts w:ascii="Times New Roman" w:eastAsiaTheme="minorEastAsia" w:hAnsi="Times New Roman" w:cstheme="minorHAnsi"/>
          <w:lang w:val="ru-RU"/>
        </w:rPr>
        <w:t>рсів в секторі громадського транспорту не передбачається, рівень споживання очікується на тому ж рівні.</w:t>
      </w:r>
    </w:p>
    <w:p w:rsidR="00275E65" w:rsidRDefault="00902217">
      <w:pPr>
        <w:tabs>
          <w:tab w:val="left" w:pos="709"/>
        </w:tabs>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Нижче представлена базова лінія споживання енергії по секторах.</w:t>
      </w:r>
    </w:p>
    <w:p w:rsidR="00275E65" w:rsidRDefault="00902217">
      <w:pPr>
        <w:tabs>
          <w:tab w:val="left" w:pos="709"/>
        </w:tabs>
        <w:jc w:val="both"/>
        <w:rPr>
          <w:rFonts w:ascii="Times New Roman" w:hAnsi="Times New Roman" w:cs="Times New Roman"/>
        </w:rPr>
      </w:pPr>
      <w:r>
        <w:rPr>
          <w:rFonts w:ascii="Times New Roman" w:eastAsiaTheme="minorEastAsia" w:hAnsi="Times New Roman" w:cstheme="minorHAnsi"/>
          <w:noProof/>
          <w:lang w:val="ru-RU" w:eastAsia="ru-RU"/>
        </w:rPr>
        <w:drawing>
          <wp:inline distT="0" distB="0" distL="0" distR="0">
            <wp:extent cx="5940425" cy="1750695"/>
            <wp:effectExtent l="0" t="0" r="3175" b="1905"/>
            <wp:docPr id="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75E65" w:rsidRDefault="00902217">
      <w:pPr>
        <w:pStyle w:val="ArPic"/>
        <w:numPr>
          <w:ilvl w:val="0"/>
          <w:numId w:val="19"/>
        </w:numPr>
        <w:tabs>
          <w:tab w:val="left" w:pos="709"/>
        </w:tabs>
        <w:ind w:left="0" w:firstLine="567"/>
        <w:jc w:val="both"/>
        <w:rPr>
          <w:rFonts w:ascii="Times New Roman" w:hAnsi="Times New Roman" w:cs="Times New Roman"/>
          <w:sz w:val="22"/>
        </w:rPr>
      </w:pPr>
      <w:bookmarkStart w:id="180" w:name="_Toc168064897"/>
      <w:r>
        <w:rPr>
          <w:rFonts w:ascii="Times New Roman" w:eastAsiaTheme="minorEastAsia" w:hAnsi="Times New Roman" w:cstheme="minorHAnsi"/>
          <w:sz w:val="22"/>
        </w:rPr>
        <w:t>Базова лінія споживання енергії громадський транспорт.</w:t>
      </w:r>
      <w:bookmarkEnd w:id="180"/>
    </w:p>
    <w:p w:rsidR="00275E65" w:rsidRDefault="00902217">
      <w:pPr>
        <w:tabs>
          <w:tab w:val="left" w:pos="709"/>
        </w:tabs>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Паливно-енергетичний баланс міс</w:t>
      </w:r>
      <w:r>
        <w:rPr>
          <w:rFonts w:ascii="Times New Roman" w:eastAsiaTheme="minorEastAsia" w:hAnsi="Times New Roman" w:cstheme="minorHAnsi"/>
          <w:lang w:val="ru-RU"/>
        </w:rPr>
        <w:t>та побудовано як суму балансів основних секторів.</w:t>
      </w:r>
    </w:p>
    <w:p w:rsidR="00275E65" w:rsidRDefault="00902217">
      <w:pPr>
        <w:tabs>
          <w:tab w:val="left" w:pos="709"/>
        </w:tabs>
        <w:jc w:val="both"/>
        <w:rPr>
          <w:rFonts w:ascii="Times New Roman" w:eastAsia="Times New Roman" w:hAnsi="Times New Roman" w:cs="Times New Roman"/>
        </w:rPr>
      </w:pPr>
      <w:r>
        <w:rPr>
          <w:rFonts w:ascii="Times New Roman" w:eastAsiaTheme="minorEastAsia" w:hAnsi="Times New Roman" w:cstheme="minorHAnsi"/>
          <w:noProof/>
          <w:lang w:val="ru-RU" w:eastAsia="ru-RU"/>
        </w:rPr>
        <w:drawing>
          <wp:inline distT="0" distB="0" distL="0" distR="0">
            <wp:extent cx="5940425" cy="1973915"/>
            <wp:effectExtent l="0" t="0" r="3175" b="762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75E65" w:rsidRDefault="00902217">
      <w:pPr>
        <w:pStyle w:val="ArPic"/>
        <w:numPr>
          <w:ilvl w:val="0"/>
          <w:numId w:val="19"/>
        </w:numPr>
        <w:tabs>
          <w:tab w:val="left" w:pos="709"/>
        </w:tabs>
        <w:ind w:left="0" w:firstLine="567"/>
        <w:jc w:val="both"/>
        <w:rPr>
          <w:rFonts w:ascii="Times New Roman" w:hAnsi="Times New Roman" w:cs="Times New Roman"/>
          <w:sz w:val="22"/>
        </w:rPr>
      </w:pPr>
      <w:bookmarkStart w:id="181" w:name="_Toc168064898"/>
      <w:r>
        <w:rPr>
          <w:rFonts w:ascii="Times New Roman" w:eastAsiaTheme="minorEastAsia" w:hAnsi="Times New Roman" w:cstheme="minorHAnsi"/>
          <w:sz w:val="22"/>
        </w:rPr>
        <w:t>Базова лінія споживання енергії всієї громади</w:t>
      </w:r>
      <w:bookmarkEnd w:id="181"/>
    </w:p>
    <w:p w:rsidR="00275E65" w:rsidRDefault="00275E65">
      <w:pPr>
        <w:tabs>
          <w:tab w:val="left" w:pos="709"/>
        </w:tabs>
        <w:ind w:firstLine="567"/>
        <w:rPr>
          <w:rFonts w:ascii="Times New Roman" w:hAnsi="Times New Roman" w:cs="Times New Roman"/>
          <w:lang w:val="ru-RU"/>
        </w:rPr>
      </w:pPr>
    </w:p>
    <w:p w:rsidR="00275E65" w:rsidRDefault="00902217">
      <w:pPr>
        <w:tabs>
          <w:tab w:val="left" w:pos="709"/>
          <w:tab w:val="left" w:pos="7450"/>
        </w:tabs>
        <w:ind w:firstLine="567"/>
        <w:rPr>
          <w:rFonts w:ascii="Times New Roman" w:eastAsia="Times New Roman" w:hAnsi="Times New Roman" w:cs="Times New Roman"/>
          <w:lang w:val="ru-RU"/>
        </w:rPr>
      </w:pPr>
      <w:r>
        <w:rPr>
          <w:rFonts w:ascii="Times New Roman" w:eastAsiaTheme="minorEastAsia" w:hAnsi="Times New Roman" w:cstheme="minorHAnsi"/>
          <w:lang w:val="ru-RU"/>
        </w:rPr>
        <w:t>Нижче представлена таблиця зі значенням базової лінії споживання енергії по секторам.</w:t>
      </w:r>
    </w:p>
    <w:tbl>
      <w:tblPr>
        <w:tblW w:w="9781" w:type="dxa"/>
        <w:tblInd w:w="-436" w:type="dxa"/>
        <w:tblLayout w:type="fixed"/>
        <w:tblLook w:val="04A0" w:firstRow="1" w:lastRow="0" w:firstColumn="1" w:lastColumn="0" w:noHBand="0" w:noVBand="1"/>
      </w:tblPr>
      <w:tblGrid>
        <w:gridCol w:w="2269"/>
        <w:gridCol w:w="567"/>
        <w:gridCol w:w="992"/>
        <w:gridCol w:w="992"/>
        <w:gridCol w:w="992"/>
        <w:gridCol w:w="992"/>
        <w:gridCol w:w="993"/>
        <w:gridCol w:w="992"/>
        <w:gridCol w:w="992"/>
      </w:tblGrid>
      <w:tr w:rsidR="00275E65">
        <w:trPr>
          <w:trHeight w:val="997"/>
        </w:trPr>
        <w:tc>
          <w:tcPr>
            <w:tcW w:w="2269" w:type="dxa"/>
            <w:tcBorders>
              <w:top w:val="single" w:sz="8" w:space="0" w:color="000000"/>
              <w:left w:val="single" w:sz="8" w:space="0" w:color="000000"/>
              <w:bottom w:val="single" w:sz="8" w:space="0" w:color="000000"/>
              <w:right w:val="single" w:sz="8" w:space="0" w:color="000000"/>
            </w:tcBorders>
            <w:shd w:val="clear" w:color="auto" w:fill="E7E6E6"/>
            <w:vAlign w:val="center"/>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Обов'язкові сектори</w:t>
            </w:r>
          </w:p>
        </w:tc>
        <w:tc>
          <w:tcPr>
            <w:tcW w:w="567" w:type="dxa"/>
            <w:tcBorders>
              <w:top w:val="single" w:sz="8" w:space="0" w:color="000000"/>
              <w:left w:val="none" w:sz="4" w:space="0" w:color="000000"/>
              <w:bottom w:val="single" w:sz="8" w:space="0" w:color="000000"/>
              <w:right w:val="single" w:sz="8" w:space="0" w:color="000000"/>
            </w:tcBorders>
            <w:shd w:val="clear" w:color="auto" w:fill="E7E6E6"/>
            <w:vAlign w:val="center"/>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Одиниці вимірювання</w:t>
            </w:r>
          </w:p>
        </w:tc>
        <w:tc>
          <w:tcPr>
            <w:tcW w:w="992" w:type="dxa"/>
            <w:tcBorders>
              <w:top w:val="single" w:sz="8" w:space="0" w:color="000000"/>
              <w:left w:val="none" w:sz="4" w:space="0" w:color="000000"/>
              <w:bottom w:val="single" w:sz="8" w:space="0" w:color="000000"/>
              <w:right w:val="single" w:sz="8" w:space="0" w:color="000000"/>
            </w:tcBorders>
            <w:shd w:val="clear" w:color="auto" w:fill="E7E6E6"/>
            <w:noWrap/>
            <w:vAlign w:val="center"/>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2024</w:t>
            </w:r>
          </w:p>
        </w:tc>
        <w:tc>
          <w:tcPr>
            <w:tcW w:w="992" w:type="dxa"/>
            <w:tcBorders>
              <w:top w:val="single" w:sz="8" w:space="0" w:color="000000"/>
              <w:left w:val="none" w:sz="4" w:space="0" w:color="000000"/>
              <w:bottom w:val="single" w:sz="8" w:space="0" w:color="000000"/>
              <w:right w:val="single" w:sz="8" w:space="0" w:color="000000"/>
            </w:tcBorders>
            <w:shd w:val="clear" w:color="auto" w:fill="E7E6E6"/>
            <w:noWrap/>
            <w:vAlign w:val="center"/>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2025</w:t>
            </w:r>
          </w:p>
        </w:tc>
        <w:tc>
          <w:tcPr>
            <w:tcW w:w="992" w:type="dxa"/>
            <w:tcBorders>
              <w:top w:val="single" w:sz="8" w:space="0" w:color="000000"/>
              <w:left w:val="none" w:sz="4" w:space="0" w:color="000000"/>
              <w:bottom w:val="single" w:sz="8" w:space="0" w:color="000000"/>
              <w:right w:val="single" w:sz="8" w:space="0" w:color="000000"/>
            </w:tcBorders>
            <w:shd w:val="clear" w:color="auto" w:fill="E7E6E6"/>
            <w:noWrap/>
            <w:vAlign w:val="center"/>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2026</w:t>
            </w:r>
          </w:p>
        </w:tc>
        <w:tc>
          <w:tcPr>
            <w:tcW w:w="992" w:type="dxa"/>
            <w:tcBorders>
              <w:top w:val="single" w:sz="8" w:space="0" w:color="000000"/>
              <w:left w:val="none" w:sz="4" w:space="0" w:color="000000"/>
              <w:bottom w:val="single" w:sz="8" w:space="0" w:color="000000"/>
              <w:right w:val="single" w:sz="8" w:space="0" w:color="000000"/>
            </w:tcBorders>
            <w:shd w:val="clear" w:color="auto" w:fill="E7E6E6"/>
            <w:noWrap/>
            <w:vAlign w:val="center"/>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2027</w:t>
            </w:r>
          </w:p>
        </w:tc>
        <w:tc>
          <w:tcPr>
            <w:tcW w:w="993" w:type="dxa"/>
            <w:tcBorders>
              <w:top w:val="single" w:sz="8" w:space="0" w:color="000000"/>
              <w:left w:val="none" w:sz="4" w:space="0" w:color="000000"/>
              <w:bottom w:val="single" w:sz="8" w:space="0" w:color="000000"/>
              <w:right w:val="single" w:sz="8" w:space="0" w:color="000000"/>
            </w:tcBorders>
            <w:shd w:val="clear" w:color="auto" w:fill="E7E6E6"/>
            <w:noWrap/>
            <w:vAlign w:val="center"/>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2028</w:t>
            </w:r>
          </w:p>
        </w:tc>
        <w:tc>
          <w:tcPr>
            <w:tcW w:w="992" w:type="dxa"/>
            <w:tcBorders>
              <w:top w:val="single" w:sz="8" w:space="0" w:color="000000"/>
              <w:left w:val="none" w:sz="4" w:space="0" w:color="000000"/>
              <w:bottom w:val="single" w:sz="8" w:space="0" w:color="000000"/>
              <w:right w:val="single" w:sz="8" w:space="0" w:color="000000"/>
            </w:tcBorders>
            <w:shd w:val="clear" w:color="auto" w:fill="E7E6E6"/>
            <w:noWrap/>
            <w:vAlign w:val="center"/>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2029</w:t>
            </w:r>
          </w:p>
        </w:tc>
        <w:tc>
          <w:tcPr>
            <w:tcW w:w="992" w:type="dxa"/>
            <w:tcBorders>
              <w:top w:val="single" w:sz="8" w:space="0" w:color="000000"/>
              <w:left w:val="none" w:sz="4" w:space="0" w:color="000000"/>
              <w:bottom w:val="single" w:sz="8" w:space="0" w:color="000000"/>
              <w:right w:val="single" w:sz="8" w:space="0" w:color="000000"/>
            </w:tcBorders>
            <w:shd w:val="clear" w:color="auto" w:fill="E7E6E6"/>
            <w:noWrap/>
            <w:vAlign w:val="center"/>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2030</w:t>
            </w:r>
          </w:p>
        </w:tc>
      </w:tr>
      <w:tr w:rsidR="00275E65">
        <w:trPr>
          <w:trHeight w:val="679"/>
        </w:trPr>
        <w:tc>
          <w:tcPr>
            <w:tcW w:w="2269"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tabs>
                <w:tab w:val="left" w:pos="709"/>
              </w:tabs>
              <w:spacing w:after="0"/>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Громадські будівлі</w:t>
            </w:r>
          </w:p>
        </w:tc>
        <w:tc>
          <w:tcPr>
            <w:tcW w:w="567" w:type="dxa"/>
            <w:vMerge w:val="restart"/>
            <w:tcBorders>
              <w:top w:val="none" w:sz="4" w:space="0" w:color="000000"/>
              <w:left w:val="none" w:sz="4" w:space="0" w:color="000000"/>
              <w:right w:val="single" w:sz="8" w:space="0" w:color="000000"/>
            </w:tcBorders>
            <w:shd w:val="clear" w:color="000000" w:fill="FFFFFF"/>
            <w:textDirection w:val="btLr"/>
            <w:vAlign w:val="center"/>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eastAsia="Times New Roman" w:hAnsi="Times New Roman" w:cs="Times New Roman"/>
                <w:b/>
                <w:bCs/>
                <w:color w:val="000000"/>
                <w:sz w:val="16"/>
                <w:lang w:val="ru-RU" w:eastAsia="ru-RU"/>
              </w:rPr>
              <w:t>МВт</w:t>
            </w:r>
            <w:r>
              <w:rPr>
                <w:rFonts w:ascii="Cambria Math" w:eastAsia="Times New Roman" w:hAnsi="Cambria Math" w:cs="Cambria Math"/>
                <w:b/>
                <w:bCs/>
                <w:color w:val="000000"/>
                <w:sz w:val="16"/>
                <w:lang w:val="ru-RU" w:eastAsia="ru-RU"/>
              </w:rPr>
              <w:t>⋅</w:t>
            </w:r>
            <w:r>
              <w:rPr>
                <w:rFonts w:ascii="Times New Roman" w:eastAsia="Times New Roman" w:hAnsi="Times New Roman" w:cs="Times New Roman"/>
                <w:b/>
                <w:bCs/>
                <w:color w:val="000000"/>
                <w:sz w:val="16"/>
                <w:lang w:val="ru-RU" w:eastAsia="ru-RU"/>
              </w:rPr>
              <w:t>год/рік</w:t>
            </w:r>
          </w:p>
        </w:tc>
        <w:tc>
          <w:tcPr>
            <w:tcW w:w="992" w:type="dxa"/>
            <w:tcBorders>
              <w:top w:val="none" w:sz="4" w:space="0" w:color="000000"/>
              <w:left w:val="none" w:sz="4" w:space="0" w:color="000000"/>
              <w:bottom w:val="single" w:sz="8" w:space="0" w:color="000000"/>
              <w:right w:val="single" w:sz="8" w:space="0" w:color="000000"/>
            </w:tcBorders>
            <w:shd w:val="clear" w:color="000000" w:fill="FFFFFF"/>
          </w:tcPr>
          <w:p w:rsidR="00275E65" w:rsidRDefault="00902217">
            <w:pPr>
              <w:tabs>
                <w:tab w:val="left" w:pos="709"/>
              </w:tabs>
              <w:spacing w:after="0"/>
              <w:jc w:val="center"/>
              <w:rPr>
                <w:rFonts w:ascii="Times New Roman" w:hAnsi="Times New Roman" w:cs="Times New Roman"/>
                <w:sz w:val="16"/>
              </w:rPr>
            </w:pPr>
            <w:r>
              <w:rPr>
                <w:rFonts w:ascii="Times New Roman" w:hAnsi="Times New Roman" w:cs="Times New Roman"/>
                <w:sz w:val="16"/>
              </w:rPr>
              <w:t xml:space="preserve"> 13 48,52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hAnsi="Times New Roman" w:cs="Times New Roman"/>
                <w:sz w:val="16"/>
              </w:rPr>
            </w:pPr>
            <w:r>
              <w:rPr>
                <w:rFonts w:ascii="Times New Roman" w:hAnsi="Times New Roman" w:cs="Times New Roman"/>
                <w:sz w:val="16"/>
              </w:rPr>
              <w:t xml:space="preserve"> 13 48,52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hAnsi="Times New Roman" w:cs="Times New Roman"/>
                <w:sz w:val="16"/>
              </w:rPr>
            </w:pPr>
            <w:r>
              <w:rPr>
                <w:rFonts w:ascii="Times New Roman" w:hAnsi="Times New Roman" w:cs="Times New Roman"/>
                <w:sz w:val="16"/>
              </w:rPr>
              <w:t xml:space="preserve"> 13 48,52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hAnsi="Times New Roman" w:cs="Times New Roman"/>
                <w:sz w:val="16"/>
              </w:rPr>
            </w:pPr>
            <w:r>
              <w:rPr>
                <w:rFonts w:ascii="Times New Roman" w:hAnsi="Times New Roman" w:cs="Times New Roman"/>
                <w:sz w:val="16"/>
              </w:rPr>
              <w:t xml:space="preserve"> 13 48,52   </w:t>
            </w:r>
          </w:p>
        </w:tc>
        <w:tc>
          <w:tcPr>
            <w:tcW w:w="993"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hAnsi="Times New Roman" w:cs="Times New Roman"/>
                <w:sz w:val="16"/>
              </w:rPr>
            </w:pPr>
            <w:r>
              <w:rPr>
                <w:rFonts w:ascii="Times New Roman" w:hAnsi="Times New Roman" w:cs="Times New Roman"/>
                <w:sz w:val="16"/>
              </w:rPr>
              <w:t xml:space="preserve"> 13 48,52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13 648,52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13 648,52   </w:t>
            </w:r>
          </w:p>
        </w:tc>
      </w:tr>
      <w:tr w:rsidR="00275E65">
        <w:trPr>
          <w:trHeight w:val="349"/>
        </w:trPr>
        <w:tc>
          <w:tcPr>
            <w:tcW w:w="2269"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tabs>
                <w:tab w:val="left" w:pos="709"/>
              </w:tabs>
              <w:spacing w:after="0"/>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Житлові будівлі</w:t>
            </w:r>
          </w:p>
        </w:tc>
        <w:tc>
          <w:tcPr>
            <w:tcW w:w="567" w:type="dxa"/>
            <w:vMerge/>
            <w:tcBorders>
              <w:left w:val="none" w:sz="4" w:space="0" w:color="000000"/>
              <w:right w:val="single" w:sz="8" w:space="0" w:color="000000"/>
            </w:tcBorders>
            <w:shd w:val="clear" w:color="000000" w:fill="FFFFFF"/>
            <w:vAlign w:val="center"/>
          </w:tcPr>
          <w:p w:rsidR="00275E65" w:rsidRDefault="00275E65">
            <w:pPr>
              <w:tabs>
                <w:tab w:val="left" w:pos="709"/>
              </w:tabs>
              <w:spacing w:after="0"/>
              <w:jc w:val="center"/>
              <w:rPr>
                <w:rFonts w:ascii="Times New Roman" w:eastAsia="Times New Roman" w:hAnsi="Times New Roman" w:cs="Times New Roman"/>
                <w:color w:val="000000"/>
                <w:sz w:val="16"/>
                <w:lang w:val="ru-RU" w:eastAsia="ru-RU"/>
              </w:rPr>
            </w:pPr>
          </w:p>
        </w:tc>
        <w:tc>
          <w:tcPr>
            <w:tcW w:w="992" w:type="dxa"/>
            <w:tcBorders>
              <w:top w:val="none" w:sz="4" w:space="0" w:color="000000"/>
              <w:left w:val="none" w:sz="4" w:space="0" w:color="000000"/>
              <w:bottom w:val="single" w:sz="8" w:space="0" w:color="000000"/>
              <w:right w:val="single" w:sz="8" w:space="0" w:color="000000"/>
            </w:tcBorders>
            <w:shd w:val="clear" w:color="000000" w:fill="FFFFFF"/>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191 818,23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189 900,05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188 001,05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186 121,04   </w:t>
            </w:r>
          </w:p>
        </w:tc>
        <w:tc>
          <w:tcPr>
            <w:tcW w:w="993"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184 259,83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182 417,23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180 593,06   </w:t>
            </w:r>
          </w:p>
        </w:tc>
      </w:tr>
      <w:tr w:rsidR="00275E65">
        <w:trPr>
          <w:trHeight w:val="349"/>
        </w:trPr>
        <w:tc>
          <w:tcPr>
            <w:tcW w:w="2269"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tabs>
                <w:tab w:val="left" w:pos="709"/>
              </w:tabs>
              <w:spacing w:after="0"/>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Сфера теплопостачання</w:t>
            </w:r>
          </w:p>
        </w:tc>
        <w:tc>
          <w:tcPr>
            <w:tcW w:w="567" w:type="dxa"/>
            <w:vMerge/>
            <w:tcBorders>
              <w:left w:val="none" w:sz="4" w:space="0" w:color="000000"/>
              <w:right w:val="single" w:sz="8" w:space="0" w:color="000000"/>
            </w:tcBorders>
            <w:shd w:val="clear" w:color="000000" w:fill="FFFFFF"/>
            <w:vAlign w:val="center"/>
          </w:tcPr>
          <w:p w:rsidR="00275E65" w:rsidRDefault="00275E65">
            <w:pPr>
              <w:tabs>
                <w:tab w:val="left" w:pos="709"/>
              </w:tabs>
              <w:spacing w:after="0"/>
              <w:jc w:val="center"/>
              <w:rPr>
                <w:rFonts w:ascii="Times New Roman" w:eastAsia="Times New Roman" w:hAnsi="Times New Roman" w:cs="Times New Roman"/>
                <w:color w:val="000000"/>
                <w:sz w:val="16"/>
                <w:lang w:val="ru-RU" w:eastAsia="ru-RU"/>
              </w:rPr>
            </w:pPr>
          </w:p>
        </w:tc>
        <w:tc>
          <w:tcPr>
            <w:tcW w:w="992" w:type="dxa"/>
            <w:tcBorders>
              <w:top w:val="none" w:sz="4" w:space="0" w:color="000000"/>
              <w:left w:val="none" w:sz="4" w:space="0" w:color="000000"/>
              <w:bottom w:val="single" w:sz="8" w:space="0" w:color="000000"/>
              <w:right w:val="single" w:sz="8" w:space="0" w:color="000000"/>
            </w:tcBorders>
            <w:shd w:val="clear" w:color="000000" w:fill="FFFFFF"/>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177,00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177,00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177,00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177,00   </w:t>
            </w:r>
          </w:p>
        </w:tc>
        <w:tc>
          <w:tcPr>
            <w:tcW w:w="993"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177,00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177,00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177,00   </w:t>
            </w:r>
          </w:p>
        </w:tc>
      </w:tr>
      <w:tr w:rsidR="00275E65">
        <w:trPr>
          <w:trHeight w:val="690"/>
        </w:trPr>
        <w:tc>
          <w:tcPr>
            <w:tcW w:w="2269"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tabs>
                <w:tab w:val="left" w:pos="709"/>
              </w:tabs>
              <w:spacing w:after="0"/>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Сфера водопостачання і водовідведення</w:t>
            </w:r>
          </w:p>
        </w:tc>
        <w:tc>
          <w:tcPr>
            <w:tcW w:w="567" w:type="dxa"/>
            <w:vMerge/>
            <w:tcBorders>
              <w:left w:val="none" w:sz="4" w:space="0" w:color="000000"/>
              <w:right w:val="single" w:sz="8" w:space="0" w:color="000000"/>
            </w:tcBorders>
            <w:shd w:val="clear" w:color="000000" w:fill="FFFFFF"/>
            <w:vAlign w:val="center"/>
          </w:tcPr>
          <w:p w:rsidR="00275E65" w:rsidRDefault="00275E65">
            <w:pPr>
              <w:tabs>
                <w:tab w:val="left" w:pos="709"/>
              </w:tabs>
              <w:spacing w:after="0"/>
              <w:jc w:val="center"/>
              <w:rPr>
                <w:rFonts w:ascii="Times New Roman" w:eastAsia="Times New Roman" w:hAnsi="Times New Roman" w:cs="Times New Roman"/>
                <w:color w:val="000000"/>
                <w:sz w:val="16"/>
                <w:lang w:val="ru-RU" w:eastAsia="ru-RU"/>
              </w:rPr>
            </w:pPr>
          </w:p>
        </w:tc>
        <w:tc>
          <w:tcPr>
            <w:tcW w:w="992" w:type="dxa"/>
            <w:tcBorders>
              <w:top w:val="none" w:sz="4" w:space="0" w:color="000000"/>
              <w:left w:val="none" w:sz="4" w:space="0" w:color="000000"/>
              <w:bottom w:val="single" w:sz="8" w:space="0" w:color="000000"/>
              <w:right w:val="single" w:sz="8" w:space="0" w:color="000000"/>
            </w:tcBorders>
            <w:shd w:val="clear" w:color="000000" w:fill="FFFFFF"/>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272,35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269,63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266,93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264,26   </w:t>
            </w:r>
          </w:p>
        </w:tc>
        <w:tc>
          <w:tcPr>
            <w:tcW w:w="993"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261,62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259,00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256,41   </w:t>
            </w:r>
          </w:p>
        </w:tc>
      </w:tr>
      <w:tr w:rsidR="00275E65">
        <w:trPr>
          <w:trHeight w:val="690"/>
        </w:trPr>
        <w:tc>
          <w:tcPr>
            <w:tcW w:w="2269"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tabs>
                <w:tab w:val="left" w:pos="709"/>
              </w:tabs>
              <w:spacing w:after="0"/>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Сфера управління побутовими відходами</w:t>
            </w:r>
          </w:p>
        </w:tc>
        <w:tc>
          <w:tcPr>
            <w:tcW w:w="567" w:type="dxa"/>
            <w:vMerge/>
            <w:tcBorders>
              <w:left w:val="none" w:sz="4" w:space="0" w:color="000000"/>
              <w:right w:val="single" w:sz="8" w:space="0" w:color="000000"/>
            </w:tcBorders>
            <w:shd w:val="clear" w:color="000000" w:fill="FFFFFF"/>
            <w:vAlign w:val="center"/>
          </w:tcPr>
          <w:p w:rsidR="00275E65" w:rsidRDefault="00275E65">
            <w:pPr>
              <w:tabs>
                <w:tab w:val="left" w:pos="709"/>
              </w:tabs>
              <w:spacing w:after="0"/>
              <w:jc w:val="center"/>
              <w:rPr>
                <w:rFonts w:ascii="Times New Roman" w:eastAsia="Times New Roman" w:hAnsi="Times New Roman" w:cs="Times New Roman"/>
                <w:color w:val="000000"/>
                <w:sz w:val="16"/>
                <w:lang w:val="ru-RU" w:eastAsia="ru-RU"/>
              </w:rPr>
            </w:pPr>
          </w:p>
        </w:tc>
        <w:tc>
          <w:tcPr>
            <w:tcW w:w="992" w:type="dxa"/>
            <w:tcBorders>
              <w:top w:val="none" w:sz="4" w:space="0" w:color="000000"/>
              <w:left w:val="none" w:sz="4" w:space="0" w:color="000000"/>
              <w:bottom w:val="single" w:sz="8" w:space="0" w:color="000000"/>
              <w:right w:val="single" w:sz="8" w:space="0" w:color="000000"/>
            </w:tcBorders>
            <w:shd w:val="clear" w:color="000000" w:fill="FFFFFF"/>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95,92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95,92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95,92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95,92   </w:t>
            </w:r>
          </w:p>
        </w:tc>
        <w:tc>
          <w:tcPr>
            <w:tcW w:w="993"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95,92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95,92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95,92   </w:t>
            </w:r>
          </w:p>
        </w:tc>
      </w:tr>
      <w:tr w:rsidR="00275E65">
        <w:trPr>
          <w:trHeight w:val="349"/>
        </w:trPr>
        <w:tc>
          <w:tcPr>
            <w:tcW w:w="2269"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tabs>
                <w:tab w:val="left" w:pos="709"/>
              </w:tabs>
              <w:spacing w:after="0"/>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Зовнішнє освітлення</w:t>
            </w:r>
          </w:p>
        </w:tc>
        <w:tc>
          <w:tcPr>
            <w:tcW w:w="567" w:type="dxa"/>
            <w:vMerge/>
            <w:tcBorders>
              <w:left w:val="none" w:sz="4" w:space="0" w:color="000000"/>
              <w:right w:val="single" w:sz="8" w:space="0" w:color="000000"/>
            </w:tcBorders>
            <w:shd w:val="clear" w:color="000000" w:fill="FFFFFF"/>
            <w:vAlign w:val="center"/>
          </w:tcPr>
          <w:p w:rsidR="00275E65" w:rsidRDefault="00275E65">
            <w:pPr>
              <w:tabs>
                <w:tab w:val="left" w:pos="709"/>
              </w:tabs>
              <w:spacing w:after="0"/>
              <w:jc w:val="center"/>
              <w:rPr>
                <w:rFonts w:ascii="Times New Roman" w:eastAsia="Times New Roman" w:hAnsi="Times New Roman" w:cs="Times New Roman"/>
                <w:color w:val="000000"/>
                <w:sz w:val="16"/>
                <w:lang w:val="ru-RU" w:eastAsia="ru-RU"/>
              </w:rPr>
            </w:pPr>
          </w:p>
        </w:tc>
        <w:tc>
          <w:tcPr>
            <w:tcW w:w="992" w:type="dxa"/>
            <w:tcBorders>
              <w:top w:val="none" w:sz="4" w:space="0" w:color="000000"/>
              <w:left w:val="none" w:sz="4" w:space="0" w:color="000000"/>
              <w:bottom w:val="single" w:sz="8" w:space="0" w:color="000000"/>
              <w:right w:val="single" w:sz="8" w:space="0" w:color="000000"/>
            </w:tcBorders>
            <w:shd w:val="clear" w:color="000000" w:fill="FFFFFF"/>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192,80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192,80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192,80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192,80   </w:t>
            </w:r>
          </w:p>
        </w:tc>
        <w:tc>
          <w:tcPr>
            <w:tcW w:w="993"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192,80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192,80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192,80   </w:t>
            </w:r>
          </w:p>
        </w:tc>
      </w:tr>
      <w:tr w:rsidR="00275E65">
        <w:trPr>
          <w:trHeight w:val="349"/>
        </w:trPr>
        <w:tc>
          <w:tcPr>
            <w:tcW w:w="2269" w:type="dxa"/>
            <w:tcBorders>
              <w:top w:val="none" w:sz="4"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tabs>
                <w:tab w:val="left" w:pos="709"/>
              </w:tabs>
              <w:spacing w:after="0"/>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Громадський транспорт</w:t>
            </w:r>
          </w:p>
        </w:tc>
        <w:tc>
          <w:tcPr>
            <w:tcW w:w="567" w:type="dxa"/>
            <w:vMerge/>
            <w:tcBorders>
              <w:left w:val="none" w:sz="4" w:space="0" w:color="000000"/>
              <w:right w:val="single" w:sz="8" w:space="0" w:color="000000"/>
            </w:tcBorders>
            <w:shd w:val="clear" w:color="000000" w:fill="FFFFFF"/>
            <w:vAlign w:val="center"/>
          </w:tcPr>
          <w:p w:rsidR="00275E65" w:rsidRDefault="00275E65">
            <w:pPr>
              <w:tabs>
                <w:tab w:val="left" w:pos="709"/>
              </w:tabs>
              <w:spacing w:after="0"/>
              <w:jc w:val="center"/>
              <w:rPr>
                <w:rFonts w:ascii="Times New Roman" w:eastAsia="Times New Roman" w:hAnsi="Times New Roman" w:cs="Times New Roman"/>
                <w:color w:val="000000"/>
                <w:sz w:val="16"/>
                <w:lang w:val="ru-RU" w:eastAsia="ru-RU"/>
              </w:rPr>
            </w:pPr>
          </w:p>
        </w:tc>
        <w:tc>
          <w:tcPr>
            <w:tcW w:w="992" w:type="dxa"/>
            <w:tcBorders>
              <w:top w:val="none" w:sz="4" w:space="0" w:color="000000"/>
              <w:left w:val="none" w:sz="4" w:space="0" w:color="000000"/>
              <w:bottom w:val="single" w:sz="8" w:space="0" w:color="000000"/>
              <w:right w:val="single" w:sz="8" w:space="0" w:color="000000"/>
            </w:tcBorders>
            <w:shd w:val="clear" w:color="000000" w:fill="FFFFFF"/>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2 067,00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2 067,00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2 067,00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2 067,00   </w:t>
            </w:r>
          </w:p>
        </w:tc>
        <w:tc>
          <w:tcPr>
            <w:tcW w:w="993"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2 067,00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2 067,00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color w:val="000000"/>
                <w:sz w:val="16"/>
                <w:lang w:val="ru-RU" w:eastAsia="ru-RU"/>
              </w:rPr>
            </w:pPr>
            <w:r>
              <w:rPr>
                <w:rFonts w:ascii="Times New Roman" w:hAnsi="Times New Roman" w:cs="Times New Roman"/>
                <w:sz w:val="16"/>
              </w:rPr>
              <w:t xml:space="preserve"> 2 067,00   </w:t>
            </w:r>
          </w:p>
        </w:tc>
      </w:tr>
      <w:tr w:rsidR="00275E65">
        <w:trPr>
          <w:trHeight w:val="349"/>
        </w:trPr>
        <w:tc>
          <w:tcPr>
            <w:tcW w:w="2269" w:type="dxa"/>
            <w:tcBorders>
              <w:top w:val="none" w:sz="4"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eastAsia="Times New Roman" w:hAnsi="Times New Roman" w:cs="Times New Roman"/>
                <w:b/>
                <w:bCs/>
                <w:color w:val="000000"/>
                <w:sz w:val="16"/>
                <w:lang w:val="ru-RU" w:eastAsia="ru-RU"/>
              </w:rPr>
              <w:t>ЗАГАЛОМ</w:t>
            </w:r>
          </w:p>
        </w:tc>
        <w:tc>
          <w:tcPr>
            <w:tcW w:w="567" w:type="dxa"/>
            <w:vMerge/>
            <w:tcBorders>
              <w:left w:val="none" w:sz="4" w:space="0" w:color="000000"/>
              <w:bottom w:val="single" w:sz="8" w:space="0" w:color="000000"/>
              <w:right w:val="single" w:sz="8" w:space="0" w:color="000000"/>
            </w:tcBorders>
            <w:shd w:val="clear" w:color="000000" w:fill="FFFFFF"/>
            <w:vAlign w:val="center"/>
          </w:tcPr>
          <w:p w:rsidR="00275E65" w:rsidRDefault="00275E65">
            <w:pPr>
              <w:tabs>
                <w:tab w:val="left" w:pos="709"/>
              </w:tabs>
              <w:spacing w:after="0"/>
              <w:jc w:val="center"/>
              <w:rPr>
                <w:rFonts w:ascii="Times New Roman" w:eastAsia="Times New Roman" w:hAnsi="Times New Roman" w:cs="Times New Roman"/>
                <w:b/>
                <w:bCs/>
                <w:color w:val="000000"/>
                <w:sz w:val="16"/>
                <w:lang w:val="ru-RU" w:eastAsia="ru-RU"/>
              </w:rPr>
            </w:pP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hAnsi="Times New Roman" w:cs="Times New Roman"/>
                <w:b/>
                <w:bCs/>
                <w:sz w:val="16"/>
              </w:rPr>
              <w:t xml:space="preserve"> 208 271,83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hAnsi="Times New Roman" w:cs="Times New Roman"/>
                <w:b/>
                <w:bCs/>
                <w:sz w:val="16"/>
              </w:rPr>
              <w:t xml:space="preserve"> 206 350,92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hAnsi="Times New Roman" w:cs="Times New Roman"/>
                <w:b/>
                <w:bCs/>
                <w:sz w:val="16"/>
              </w:rPr>
              <w:t xml:space="preserve"> 204 449,22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hAnsi="Times New Roman" w:cs="Times New Roman"/>
                <w:b/>
                <w:bCs/>
                <w:sz w:val="16"/>
              </w:rPr>
              <w:t xml:space="preserve"> 202 566,54   </w:t>
            </w:r>
          </w:p>
        </w:tc>
        <w:tc>
          <w:tcPr>
            <w:tcW w:w="993"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hAnsi="Times New Roman" w:cs="Times New Roman"/>
                <w:b/>
                <w:bCs/>
                <w:sz w:val="16"/>
              </w:rPr>
              <w:t xml:space="preserve"> 200 702,69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hAnsi="Times New Roman" w:cs="Times New Roman"/>
                <w:b/>
                <w:bCs/>
                <w:sz w:val="16"/>
              </w:rPr>
              <w:t xml:space="preserve"> 198 857,48   </w:t>
            </w:r>
          </w:p>
        </w:tc>
        <w:tc>
          <w:tcPr>
            <w:tcW w:w="992" w:type="dxa"/>
            <w:tcBorders>
              <w:top w:val="none" w:sz="4" w:space="0" w:color="000000"/>
              <w:left w:val="none" w:sz="4" w:space="0" w:color="000000"/>
              <w:bottom w:val="single" w:sz="8" w:space="0" w:color="000000"/>
              <w:right w:val="single" w:sz="8" w:space="0" w:color="000000"/>
            </w:tcBorders>
            <w:shd w:val="clear" w:color="000000" w:fill="FFFFFF"/>
            <w:noWrap/>
          </w:tcPr>
          <w:p w:rsidR="00275E65" w:rsidRDefault="00902217">
            <w:pPr>
              <w:tabs>
                <w:tab w:val="left" w:pos="709"/>
              </w:tabs>
              <w:spacing w:after="0"/>
              <w:jc w:val="center"/>
              <w:rPr>
                <w:rFonts w:ascii="Times New Roman" w:eastAsia="Times New Roman" w:hAnsi="Times New Roman" w:cs="Times New Roman"/>
                <w:b/>
                <w:bCs/>
                <w:color w:val="000000"/>
                <w:sz w:val="16"/>
                <w:lang w:val="ru-RU" w:eastAsia="ru-RU"/>
              </w:rPr>
            </w:pPr>
            <w:r>
              <w:rPr>
                <w:rFonts w:ascii="Times New Roman" w:hAnsi="Times New Roman" w:cs="Times New Roman"/>
                <w:b/>
                <w:bCs/>
                <w:sz w:val="16"/>
              </w:rPr>
              <w:t xml:space="preserve"> 197 030,71   </w:t>
            </w:r>
          </w:p>
        </w:tc>
      </w:tr>
    </w:tbl>
    <w:p w:rsidR="00275E65" w:rsidRDefault="00275E65">
      <w:pPr>
        <w:pStyle w:val="Arord"/>
        <w:tabs>
          <w:tab w:val="left" w:pos="709"/>
        </w:tabs>
        <w:ind w:firstLine="567"/>
        <w:rPr>
          <w:rFonts w:ascii="Times New Roman" w:hAnsi="Times New Roman" w:cs="Times New Roman"/>
          <w:sz w:val="22"/>
        </w:rPr>
      </w:pPr>
    </w:p>
    <w:p w:rsidR="00275E65" w:rsidRDefault="00275E65">
      <w:pPr>
        <w:pStyle w:val="Arord"/>
        <w:tabs>
          <w:tab w:val="left" w:pos="709"/>
        </w:tabs>
        <w:ind w:firstLine="567"/>
        <w:rPr>
          <w:rFonts w:ascii="Times New Roman" w:hAnsi="Times New Roman" w:cs="Times New Roman"/>
          <w:sz w:val="22"/>
        </w:rPr>
      </w:pPr>
    </w:p>
    <w:p w:rsidR="00275E65" w:rsidRDefault="00902217">
      <w:pPr>
        <w:pStyle w:val="ArHead2"/>
        <w:tabs>
          <w:tab w:val="left" w:pos="709"/>
        </w:tabs>
        <w:spacing w:after="0" w:line="276" w:lineRule="auto"/>
        <w:ind w:firstLine="567"/>
        <w:rPr>
          <w:rFonts w:ascii="Times New Roman" w:hAnsi="Times New Roman" w:cs="Times New Roman"/>
          <w:sz w:val="22"/>
        </w:rPr>
      </w:pPr>
      <w:bookmarkStart w:id="182" w:name="_Toc168064816"/>
      <w:r>
        <w:rPr>
          <w:rFonts w:ascii="Times New Roman" w:eastAsiaTheme="minorEastAsia" w:hAnsi="Times New Roman" w:cstheme="minorHAnsi"/>
          <w:sz w:val="22"/>
        </w:rPr>
        <w:t>Цілі сталого енергетичного розвитку</w:t>
      </w:r>
      <w:bookmarkEnd w:id="182"/>
      <w:r>
        <w:rPr>
          <w:rFonts w:ascii="Times New Roman" w:eastAsiaTheme="minorEastAsia" w:hAnsi="Times New Roman" w:cstheme="minorHAnsi"/>
          <w:sz w:val="22"/>
        </w:rPr>
        <w:t xml:space="preserve"> </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uk-UA"/>
        </w:rPr>
        <w:t xml:space="preserve">Цілі сталого енергетичного розвитку визначають шляхи та стратегії для глобального енергетичного сектору, спрямовані на забезпечення енергетичної безпеки, економічної ефективності, соціальної справедливості та збереження навколишнього середовища. </w:t>
      </w:r>
      <w:r>
        <w:rPr>
          <w:rFonts w:ascii="Times New Roman" w:eastAsiaTheme="minorEastAsia" w:hAnsi="Times New Roman" w:cstheme="minorHAnsi"/>
          <w:lang w:val="ru-RU"/>
        </w:rPr>
        <w:t>Ці цілі пр</w:t>
      </w:r>
      <w:r>
        <w:rPr>
          <w:rFonts w:ascii="Times New Roman" w:eastAsiaTheme="minorEastAsia" w:hAnsi="Times New Roman" w:cstheme="minorHAnsi"/>
          <w:lang w:val="ru-RU"/>
        </w:rPr>
        <w:t>изначені для покращення якості життя, забезпечення сталого розвитку та зменшення впливу енергетичного сектору на клімат.</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Основні цілі сталого енергетичного розвитку включають:</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Забезпечення універсального доступу до чистої енергії: Зробити доступними та еко</w:t>
      </w:r>
      <w:r>
        <w:rPr>
          <w:rFonts w:ascii="Times New Roman" w:eastAsiaTheme="minorEastAsia" w:hAnsi="Times New Roman" w:cstheme="minorHAnsi"/>
          <w:lang w:val="ru-RU"/>
        </w:rPr>
        <w:t>номічно доступними для всіх надійні, стійкі, сучасні та чисті джерела енергії.</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Підвищення ефективності використання енергії: Зменшення витрат енергії та підвищення енергоефективності у всіх секторах, включаючи промисловість, транспорт та житлово-комунальни</w:t>
      </w:r>
      <w:r>
        <w:rPr>
          <w:rFonts w:ascii="Times New Roman" w:eastAsiaTheme="minorEastAsia" w:hAnsi="Times New Roman" w:cstheme="minorHAnsi"/>
          <w:lang w:val="ru-RU"/>
        </w:rPr>
        <w:t>й сектор.</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Збільшення частки відновлюваних джерел енергії: Зростання вкладу відновлюваних джерел енергії у загальну енергетичну структуру та зменшення залежності від традиційних вугільних та нафтових джерел.</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Поліпшення енергетичної інфраструктури: Забезпече</w:t>
      </w:r>
      <w:r>
        <w:rPr>
          <w:rFonts w:ascii="Times New Roman" w:eastAsiaTheme="minorEastAsia" w:hAnsi="Times New Roman" w:cstheme="minorHAnsi"/>
          <w:lang w:val="ru-RU"/>
        </w:rPr>
        <w:t>ння стійкої енергетичної інфраструктури, що включає інновації в області технологій, зберігання енергії та сучасні системи передачі.</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Розвиток децентралізованих систем енергопостачання: Підтримка розвитку децентралізованих систем енергопостачання, що включає</w:t>
      </w:r>
      <w:r>
        <w:rPr>
          <w:rFonts w:ascii="Times New Roman" w:eastAsiaTheme="minorEastAsia" w:hAnsi="Times New Roman" w:cstheme="minorHAnsi"/>
          <w:lang w:val="ru-RU"/>
        </w:rPr>
        <w:t xml:space="preserve"> в себе використання місцевих та регіональних ресурсів.</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Підвищення рівня енергетичної ефективності усіх секторів: Забезпечення сталого енергетичного розвитку у всіх сферах господарювання, включаючи промисловість, транспорт, сільське господарство та житлово</w:t>
      </w:r>
      <w:r>
        <w:rPr>
          <w:rFonts w:ascii="Times New Roman" w:eastAsiaTheme="minorEastAsia" w:hAnsi="Times New Roman" w:cstheme="minorHAnsi"/>
          <w:lang w:val="ru-RU"/>
        </w:rPr>
        <w:t>-комунальний сектор.</w:t>
      </w:r>
    </w:p>
    <w:p w:rsidR="00275E65" w:rsidRDefault="00902217">
      <w:p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Ці цілі сталого енергетичного розвитку є частиною глобальних ініціатив, таких як Цілі сталого розвитку ООН, зокрема Ціль 7. Забезпечення доступу всіх людей̆ до прийнятних за ціною, надійних, сталих і сучасних джерел енергії̈, Ціль 11.</w:t>
      </w:r>
      <w:r>
        <w:rPr>
          <w:rFonts w:ascii="Times New Roman" w:eastAsiaTheme="minorEastAsia" w:hAnsi="Times New Roman" w:cstheme="minorHAnsi"/>
          <w:lang w:val="ru-RU"/>
        </w:rPr>
        <w:t xml:space="preserve"> Забезпечення відкритості, безпеки, життєстійкості й екологічної̈ стійкості міст і населених пунктів, Ціль 12. Забезпечення переходу до раціональних моделей̆ споживання і виробництва.</w:t>
      </w:r>
    </w:p>
    <w:p w:rsidR="00275E65" w:rsidRDefault="00902217">
      <w:pPr>
        <w:tabs>
          <w:tab w:val="left" w:pos="709"/>
        </w:tabs>
        <w:ind w:firstLine="567"/>
        <w:jc w:val="both"/>
        <w:rPr>
          <w:rFonts w:ascii="Times New Roman" w:hAnsi="Times New Roman" w:cs="Times New Roman"/>
          <w:lang w:val="ru-RU"/>
        </w:rPr>
      </w:pPr>
      <w:r>
        <w:rPr>
          <w:rFonts w:ascii="Times New Roman" w:eastAsiaTheme="minorEastAsia" w:hAnsi="Times New Roman" w:cstheme="minorHAnsi"/>
          <w:lang w:val="ru-RU"/>
        </w:rPr>
        <w:t>Цілі даного Плану також узгоджуються із стратегічними цілями які визн</w:t>
      </w:r>
      <w:r>
        <w:rPr>
          <w:rFonts w:ascii="Times New Roman" w:eastAsiaTheme="minorEastAsia" w:hAnsi="Times New Roman" w:cstheme="minorHAnsi"/>
          <w:lang w:val="ru-RU"/>
        </w:rPr>
        <w:t>ачені у Стратегії розвитку Носівської об'єднаної територіальної громади на 2020–2027 роки та відповідають стратегічнім та оперативним цілям 4.2. Ефективне використання природних ресурсів та збереження довкілля, 2.2.3.Упровадження енергоефективних заходів у</w:t>
      </w:r>
      <w:r>
        <w:rPr>
          <w:rFonts w:ascii="Times New Roman" w:eastAsiaTheme="minorEastAsia" w:hAnsi="Times New Roman" w:cstheme="minorHAnsi"/>
          <w:lang w:val="ru-RU"/>
        </w:rPr>
        <w:t xml:space="preserve"> будівлях бюджетної сфери. Удосконалення обліку та контролю енергоресурсів.</w:t>
      </w:r>
    </w:p>
    <w:p w:rsidR="00275E65" w:rsidRDefault="00902217">
      <w:p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Стратегічною ціллю Носівської територіальної громади є забезпечення комфорту проживання мешканців шляхом підвищення якості комунальних послуг з одночасним зниженням енерговитрат ін</w:t>
      </w:r>
      <w:r>
        <w:rPr>
          <w:rFonts w:ascii="Times New Roman" w:eastAsiaTheme="minorEastAsia" w:hAnsi="Times New Roman" w:cstheme="minorHAnsi"/>
          <w:lang w:val="ru-RU"/>
        </w:rPr>
        <w:t>фраструктури та збільшення частки відновлюваних джерел енергії.</w:t>
      </w:r>
    </w:p>
    <w:p w:rsidR="00275E65" w:rsidRDefault="00275E65">
      <w:p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418"/>
        </w:tabs>
        <w:spacing w:after="0"/>
        <w:ind w:firstLine="567"/>
        <w:jc w:val="both"/>
        <w:rPr>
          <w:rFonts w:ascii="Times New Roman" w:hAnsi="Times New Roman" w:cs="Times New Roman"/>
          <w:lang w:val="ru-RU"/>
        </w:rPr>
      </w:pPr>
    </w:p>
    <w:p w:rsidR="00275E65" w:rsidRDefault="00902217">
      <w:p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 xml:space="preserve">Згідно Порядку розроблення та оновлення місцевих енергетичних планів цілі сталого енергетичного розвитку визначені на останній рік періоду енергетичного плану на 2030 рік. </w:t>
      </w:r>
    </w:p>
    <w:p w:rsidR="00275E65" w:rsidRDefault="00902217">
      <w:p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Цілями сталого ене</w:t>
      </w:r>
      <w:r>
        <w:rPr>
          <w:rFonts w:ascii="Times New Roman" w:eastAsiaTheme="minorEastAsia" w:hAnsi="Times New Roman" w:cstheme="minorHAnsi"/>
          <w:lang w:val="ru-RU"/>
        </w:rPr>
        <w:t>ргетичного розвитку є:</w:t>
      </w:r>
    </w:p>
    <w:p w:rsidR="00275E65" w:rsidRDefault="00902217">
      <w:pPr>
        <w:pStyle w:val="aff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6"/>
          <w:tab w:val="left" w:pos="709"/>
          <w:tab w:val="left" w:pos="851"/>
          <w:tab w:val="left" w:pos="1134"/>
          <w:tab w:val="left" w:pos="1418"/>
        </w:tabs>
        <w:spacing w:after="0" w:line="240" w:lineRule="auto"/>
        <w:ind w:left="0" w:firstLine="567"/>
        <w:jc w:val="both"/>
        <w:rPr>
          <w:rFonts w:ascii="Times New Roman" w:eastAsia="Times New Roman" w:hAnsi="Times New Roman" w:cs="Times New Roman"/>
        </w:rPr>
      </w:pPr>
      <w:r>
        <w:rPr>
          <w:rFonts w:ascii="Times New Roman" w:eastAsiaTheme="minorEastAsia" w:hAnsi="Times New Roman" w:cstheme="minorHAnsi"/>
        </w:rPr>
        <w:t>ціль із підвищення енергоефективності;</w:t>
      </w:r>
    </w:p>
    <w:p w:rsidR="00275E65" w:rsidRDefault="00902217">
      <w:pPr>
        <w:pStyle w:val="aff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6"/>
          <w:tab w:val="left" w:pos="709"/>
          <w:tab w:val="left" w:pos="851"/>
          <w:tab w:val="left" w:pos="1134"/>
          <w:tab w:val="left" w:pos="1418"/>
        </w:tabs>
        <w:spacing w:after="0" w:line="240" w:lineRule="auto"/>
        <w:ind w:left="0"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ціль із розвитку відновлюваних джерел енергії.</w:t>
      </w:r>
    </w:p>
    <w:p w:rsidR="00275E65" w:rsidRDefault="00902217">
      <w:pPr>
        <w:pBdr>
          <w:top w:val="none" w:sz="4" w:space="0" w:color="000000"/>
          <w:left w:val="none" w:sz="4" w:space="0" w:color="000000"/>
          <w:bottom w:val="none" w:sz="4" w:space="0" w:color="000000"/>
          <w:right w:val="none" w:sz="4" w:space="0" w:color="000000"/>
          <w:between w:val="none" w:sz="4" w:space="0" w:color="000000"/>
        </w:pBdr>
        <w:tabs>
          <w:tab w:val="left" w:pos="-6"/>
          <w:tab w:val="left" w:pos="709"/>
          <w:tab w:val="left" w:pos="851"/>
          <w:tab w:val="left" w:pos="1418"/>
        </w:tabs>
        <w:spacing w:after="0"/>
        <w:ind w:firstLine="567"/>
        <w:jc w:val="both"/>
        <w:rPr>
          <w:rFonts w:ascii="Times New Roman" w:eastAsia="Gungsuh" w:hAnsi="Times New Roman" w:cs="Times New Roman"/>
          <w:lang w:val="ru-RU"/>
        </w:rPr>
      </w:pPr>
      <w:r>
        <w:rPr>
          <w:rFonts w:ascii="Times New Roman" w:eastAsiaTheme="minorEastAsia" w:hAnsi="Times New Roman" w:cstheme="minorHAnsi"/>
          <w:lang w:val="ru-RU"/>
        </w:rPr>
        <w:t>Ціль із підвищення енергоефективності виражена у МВт</w:t>
      </w:r>
      <w:r>
        <w:rPr>
          <w:rFonts w:ascii="Cambria Math" w:eastAsiaTheme="minorEastAsia" w:hAnsi="Cambria Math" w:cstheme="minorHAnsi"/>
          <w:lang w:val="ru-RU"/>
        </w:rPr>
        <w:t>⋅</w:t>
      </w:r>
      <w:r>
        <w:rPr>
          <w:rFonts w:ascii="Times New Roman" w:eastAsiaTheme="minorEastAsia" w:hAnsi="Times New Roman" w:cstheme="minorHAnsi"/>
          <w:lang w:val="ru-RU"/>
        </w:rPr>
        <w:t>год та відсотках зниження кінцевого споживання енергії на території територіальної громади відносно базової лінії на кінець періоду муніципального енергетичного плану.</w:t>
      </w:r>
    </w:p>
    <w:p w:rsidR="00275E65" w:rsidRDefault="00902217">
      <w:pPr>
        <w:pBdr>
          <w:top w:val="none" w:sz="4" w:space="0" w:color="000000"/>
          <w:left w:val="none" w:sz="4" w:space="0" w:color="000000"/>
          <w:bottom w:val="none" w:sz="4" w:space="0" w:color="000000"/>
          <w:right w:val="none" w:sz="4" w:space="0" w:color="000000"/>
          <w:between w:val="none" w:sz="4" w:space="0" w:color="000000"/>
        </w:pBdr>
        <w:tabs>
          <w:tab w:val="left" w:pos="-6"/>
          <w:tab w:val="left" w:pos="709"/>
          <w:tab w:val="left" w:pos="851"/>
          <w:tab w:val="left" w:pos="1418"/>
        </w:tabs>
        <w:spacing w:after="0"/>
        <w:ind w:firstLine="567"/>
        <w:jc w:val="both"/>
        <w:rPr>
          <w:rFonts w:ascii="Times New Roman" w:eastAsia="Gungsuh" w:hAnsi="Times New Roman" w:cs="Times New Roman"/>
          <w:lang w:val="ru-RU"/>
        </w:rPr>
      </w:pPr>
      <w:r>
        <w:rPr>
          <w:rFonts w:ascii="Times New Roman" w:eastAsiaTheme="minorEastAsia" w:hAnsi="Times New Roman" w:cstheme="minorHAnsi"/>
          <w:lang w:val="ru-RU"/>
        </w:rPr>
        <w:t>Ціль із розвитку відновлюваних джерел енергії виражена у МВт</w:t>
      </w:r>
      <w:r>
        <w:rPr>
          <w:rFonts w:ascii="Cambria Math" w:eastAsiaTheme="minorEastAsia" w:hAnsi="Cambria Math" w:cstheme="minorHAnsi"/>
          <w:lang w:val="ru-RU"/>
        </w:rPr>
        <w:t>⋅</w:t>
      </w:r>
      <w:r>
        <w:rPr>
          <w:rFonts w:ascii="Times New Roman" w:eastAsiaTheme="minorEastAsia" w:hAnsi="Times New Roman" w:cstheme="minorHAnsi"/>
          <w:lang w:val="ru-RU"/>
        </w:rPr>
        <w:t>год та відсотках відновлюва</w:t>
      </w:r>
      <w:r>
        <w:rPr>
          <w:rFonts w:ascii="Times New Roman" w:eastAsiaTheme="minorEastAsia" w:hAnsi="Times New Roman" w:cstheme="minorHAnsi"/>
          <w:lang w:val="ru-RU"/>
        </w:rPr>
        <w:t>них джерел енергії в кінцевому споживанні енергії на території територіальної громади на кінець періоду муніципального енергетичного плану.</w:t>
      </w:r>
    </w:p>
    <w:p w:rsidR="00275E65" w:rsidRDefault="00902217">
      <w:pPr>
        <w:pBdr>
          <w:top w:val="none" w:sz="4" w:space="0" w:color="000000"/>
          <w:left w:val="none" w:sz="4" w:space="0" w:color="000000"/>
          <w:bottom w:val="none" w:sz="4" w:space="0" w:color="000000"/>
          <w:right w:val="none" w:sz="4" w:space="0" w:color="000000"/>
          <w:between w:val="none" w:sz="4" w:space="0" w:color="000000"/>
        </w:pBdr>
        <w:tabs>
          <w:tab w:val="left" w:pos="-6"/>
          <w:tab w:val="left" w:pos="709"/>
          <w:tab w:val="left" w:pos="851"/>
          <w:tab w:val="left" w:pos="1418"/>
        </w:tabs>
        <w:spacing w:after="0"/>
        <w:ind w:firstLine="567"/>
        <w:jc w:val="both"/>
        <w:rPr>
          <w:rFonts w:ascii="Times New Roman" w:eastAsia="Times New Roman" w:hAnsi="Times New Roman" w:cs="Times New Roman"/>
          <w:lang w:val="ru-RU"/>
        </w:rPr>
      </w:pPr>
      <w:bookmarkStart w:id="183" w:name="_Hlk147070352"/>
      <w:r>
        <w:rPr>
          <w:rFonts w:ascii="Times New Roman" w:eastAsiaTheme="minorEastAsia" w:hAnsi="Times New Roman" w:cstheme="minorHAnsi"/>
          <w:lang w:val="ru-RU"/>
        </w:rPr>
        <w:t>Обов’язковими секторами для визначення цілей сталого енергетичного розвитку територіальної громади є :</w:t>
      </w:r>
    </w:p>
    <w:p w:rsidR="00275E65" w:rsidRDefault="00902217">
      <w:pPr>
        <w:pStyle w:val="aff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134"/>
          <w:tab w:val="left" w:pos="1418"/>
        </w:tabs>
        <w:spacing w:after="0" w:line="240" w:lineRule="auto"/>
        <w:ind w:left="0" w:firstLine="567"/>
        <w:jc w:val="both"/>
        <w:rPr>
          <w:rFonts w:ascii="Times New Roman" w:eastAsia="Times New Roman" w:hAnsi="Times New Roman" w:cs="Times New Roman"/>
        </w:rPr>
      </w:pPr>
      <w:r>
        <w:rPr>
          <w:rFonts w:ascii="Times New Roman" w:eastAsiaTheme="minorEastAsia" w:hAnsi="Times New Roman" w:cstheme="minorHAnsi"/>
        </w:rPr>
        <w:t>громадські будівлі;</w:t>
      </w:r>
    </w:p>
    <w:p w:rsidR="00275E65" w:rsidRDefault="00902217">
      <w:pPr>
        <w:pStyle w:val="aff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134"/>
          <w:tab w:val="left" w:pos="1418"/>
        </w:tabs>
        <w:spacing w:after="0" w:line="240" w:lineRule="auto"/>
        <w:ind w:left="0" w:firstLine="567"/>
        <w:jc w:val="both"/>
        <w:rPr>
          <w:rFonts w:ascii="Times New Roman" w:eastAsia="Times New Roman" w:hAnsi="Times New Roman" w:cs="Times New Roman"/>
        </w:rPr>
      </w:pPr>
      <w:r>
        <w:rPr>
          <w:rFonts w:ascii="Times New Roman" w:eastAsiaTheme="minorEastAsia" w:hAnsi="Times New Roman" w:cstheme="minorHAnsi"/>
        </w:rPr>
        <w:t>житлові будівлі;</w:t>
      </w:r>
    </w:p>
    <w:p w:rsidR="00275E65" w:rsidRDefault="00902217">
      <w:pPr>
        <w:pStyle w:val="aff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134"/>
          <w:tab w:val="left" w:pos="1418"/>
        </w:tabs>
        <w:spacing w:after="0" w:line="240" w:lineRule="auto"/>
        <w:ind w:left="0" w:firstLine="567"/>
        <w:jc w:val="both"/>
        <w:rPr>
          <w:rFonts w:ascii="Times New Roman" w:eastAsia="Times New Roman" w:hAnsi="Times New Roman" w:cs="Times New Roman"/>
        </w:rPr>
      </w:pPr>
      <w:r>
        <w:rPr>
          <w:rFonts w:ascii="Times New Roman" w:eastAsiaTheme="minorEastAsia" w:hAnsi="Times New Roman" w:cstheme="minorHAnsi"/>
        </w:rPr>
        <w:t>сфера теплопостачання;</w:t>
      </w:r>
    </w:p>
    <w:p w:rsidR="00275E65" w:rsidRDefault="00902217">
      <w:pPr>
        <w:pStyle w:val="aff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134"/>
          <w:tab w:val="left" w:pos="1418"/>
        </w:tabs>
        <w:spacing w:after="0" w:line="240" w:lineRule="auto"/>
        <w:ind w:left="0" w:firstLine="567"/>
        <w:jc w:val="both"/>
        <w:rPr>
          <w:rFonts w:ascii="Times New Roman" w:eastAsia="Times New Roman" w:hAnsi="Times New Roman" w:cs="Times New Roman"/>
        </w:rPr>
      </w:pPr>
      <w:r>
        <w:rPr>
          <w:rFonts w:ascii="Times New Roman" w:eastAsiaTheme="minorEastAsia" w:hAnsi="Times New Roman" w:cstheme="minorHAnsi"/>
        </w:rPr>
        <w:t>сфера водопостачання і водовідведення;</w:t>
      </w:r>
    </w:p>
    <w:p w:rsidR="00275E65" w:rsidRDefault="00902217">
      <w:pPr>
        <w:pStyle w:val="aff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134"/>
          <w:tab w:val="left" w:pos="1418"/>
        </w:tabs>
        <w:spacing w:after="0" w:line="240" w:lineRule="auto"/>
        <w:ind w:left="0" w:firstLine="567"/>
        <w:jc w:val="both"/>
        <w:rPr>
          <w:rFonts w:ascii="Times New Roman" w:eastAsia="Times New Roman" w:hAnsi="Times New Roman" w:cs="Times New Roman"/>
        </w:rPr>
      </w:pPr>
      <w:r>
        <w:rPr>
          <w:rFonts w:ascii="Times New Roman" w:eastAsiaTheme="minorEastAsia" w:hAnsi="Times New Roman" w:cstheme="minorHAnsi"/>
        </w:rPr>
        <w:t>сфера управління побутовими відходами;</w:t>
      </w:r>
    </w:p>
    <w:p w:rsidR="00275E65" w:rsidRDefault="00902217">
      <w:pPr>
        <w:pStyle w:val="aff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134"/>
          <w:tab w:val="left" w:pos="1418"/>
        </w:tabs>
        <w:spacing w:after="0" w:line="240" w:lineRule="auto"/>
        <w:ind w:left="0" w:firstLine="567"/>
        <w:jc w:val="both"/>
        <w:rPr>
          <w:rFonts w:ascii="Times New Roman" w:eastAsia="Times New Roman" w:hAnsi="Times New Roman" w:cs="Times New Roman"/>
        </w:rPr>
      </w:pPr>
      <w:r>
        <w:rPr>
          <w:rFonts w:ascii="Times New Roman" w:eastAsiaTheme="minorEastAsia" w:hAnsi="Times New Roman" w:cstheme="minorHAnsi"/>
        </w:rPr>
        <w:t>зовнішнє освітлення;</w:t>
      </w:r>
    </w:p>
    <w:p w:rsidR="00275E65" w:rsidRDefault="00902217">
      <w:pPr>
        <w:pStyle w:val="aff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134"/>
          <w:tab w:val="left" w:pos="1418"/>
        </w:tabs>
        <w:spacing w:after="0" w:line="240" w:lineRule="auto"/>
        <w:ind w:left="0" w:firstLine="567"/>
        <w:jc w:val="both"/>
        <w:rPr>
          <w:rFonts w:ascii="Times New Roman" w:eastAsia="Times New Roman" w:hAnsi="Times New Roman" w:cs="Times New Roman"/>
        </w:rPr>
      </w:pPr>
      <w:r>
        <w:rPr>
          <w:rFonts w:ascii="Times New Roman" w:eastAsiaTheme="minorEastAsia" w:hAnsi="Times New Roman" w:cstheme="minorHAnsi"/>
        </w:rPr>
        <w:t>громадський транспорт.</w:t>
      </w:r>
      <w:bookmarkEnd w:id="183"/>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Для кожного обов’язкового сектору встановлено секторальні цілі, які є скла</w:t>
      </w:r>
      <w:r>
        <w:rPr>
          <w:rFonts w:ascii="Times New Roman" w:eastAsiaTheme="minorEastAsia" w:hAnsi="Times New Roman" w:cstheme="minorHAnsi"/>
          <w:lang w:val="ru-RU"/>
        </w:rPr>
        <w:t xml:space="preserve">довими цілей сталого енергетичного розвитку. </w:t>
      </w:r>
    </w:p>
    <w:tbl>
      <w:tblPr>
        <w:tblStyle w:val="aff4"/>
        <w:tblW w:w="0" w:type="auto"/>
        <w:tblLook w:val="04A0" w:firstRow="1" w:lastRow="0" w:firstColumn="1" w:lastColumn="0" w:noHBand="0" w:noVBand="1"/>
      </w:tblPr>
      <w:tblGrid>
        <w:gridCol w:w="4672"/>
        <w:gridCol w:w="4673"/>
      </w:tblGrid>
      <w:tr w:rsidR="00275E65">
        <w:tc>
          <w:tcPr>
            <w:tcW w:w="4672" w:type="dxa"/>
            <w:shd w:val="clear" w:color="auto" w:fill="E7E6E6"/>
          </w:tcPr>
          <w:p w:rsidR="00275E65" w:rsidRDefault="00902217">
            <w:pPr>
              <w:tabs>
                <w:tab w:val="left" w:pos="709"/>
                <w:tab w:val="left" w:pos="1418"/>
              </w:tabs>
              <w:spacing w:after="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Стратегічні цілі</w:t>
            </w:r>
          </w:p>
        </w:tc>
        <w:tc>
          <w:tcPr>
            <w:tcW w:w="4673" w:type="dxa"/>
            <w:shd w:val="clear" w:color="auto" w:fill="E7E6E6"/>
          </w:tcPr>
          <w:p w:rsidR="00275E65" w:rsidRDefault="00902217">
            <w:pPr>
              <w:tabs>
                <w:tab w:val="left" w:pos="709"/>
                <w:tab w:val="left" w:pos="1418"/>
              </w:tabs>
              <w:spacing w:after="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Секторальні цілі</w:t>
            </w:r>
          </w:p>
        </w:tc>
      </w:tr>
      <w:tr w:rsidR="00275E65">
        <w:tc>
          <w:tcPr>
            <w:tcW w:w="4672" w:type="dxa"/>
            <w:vMerge w:val="restart"/>
          </w:tcPr>
          <w:p w:rsidR="00275E65" w:rsidRDefault="00902217">
            <w:pPr>
              <w:pStyle w:val="aff0"/>
              <w:numPr>
                <w:ilvl w:val="0"/>
                <w:numId w:val="22"/>
              </w:numPr>
              <w:tabs>
                <w:tab w:val="left" w:pos="709"/>
                <w:tab w:val="left" w:pos="1134"/>
                <w:tab w:val="left" w:pos="1418"/>
              </w:tabs>
              <w:spacing w:after="0" w:line="240" w:lineRule="auto"/>
              <w:ind w:left="0"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Підвищення енергоефективності громади</w:t>
            </w:r>
          </w:p>
        </w:tc>
        <w:tc>
          <w:tcPr>
            <w:tcW w:w="4673" w:type="dxa"/>
          </w:tcPr>
          <w:p w:rsidR="00275E65" w:rsidRDefault="00902217">
            <w:pPr>
              <w:pStyle w:val="aff0"/>
              <w:numPr>
                <w:ilvl w:val="0"/>
                <w:numId w:val="23"/>
              </w:numPr>
              <w:tabs>
                <w:tab w:val="left" w:pos="709"/>
                <w:tab w:val="left" w:pos="1134"/>
                <w:tab w:val="left" w:pos="1418"/>
              </w:tabs>
              <w:spacing w:after="0" w:line="240" w:lineRule="auto"/>
              <w:ind w:left="0" w:firstLine="0"/>
              <w:jc w:val="both"/>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Розвиток ВДЕ в громадських будівель</w:t>
            </w:r>
          </w:p>
        </w:tc>
      </w:tr>
      <w:tr w:rsidR="00275E65">
        <w:tc>
          <w:tcPr>
            <w:tcW w:w="4672" w:type="dxa"/>
            <w:vMerge/>
          </w:tcPr>
          <w:p w:rsidR="00275E65" w:rsidRDefault="00275E65">
            <w:pPr>
              <w:tabs>
                <w:tab w:val="left" w:pos="709"/>
                <w:tab w:val="left" w:pos="1418"/>
              </w:tabs>
              <w:spacing w:after="0"/>
              <w:rPr>
                <w:rFonts w:ascii="Times New Roman" w:eastAsia="Times New Roman" w:hAnsi="Times New Roman" w:cs="Times New Roman"/>
                <w:sz w:val="22"/>
                <w:szCs w:val="22"/>
                <w:lang w:val="ru-RU"/>
              </w:rPr>
            </w:pPr>
          </w:p>
        </w:tc>
        <w:tc>
          <w:tcPr>
            <w:tcW w:w="4673" w:type="dxa"/>
          </w:tcPr>
          <w:p w:rsidR="00275E65" w:rsidRDefault="00902217">
            <w:pPr>
              <w:pStyle w:val="aff0"/>
              <w:numPr>
                <w:ilvl w:val="0"/>
                <w:numId w:val="23"/>
              </w:numPr>
              <w:tabs>
                <w:tab w:val="left" w:pos="709"/>
                <w:tab w:val="left" w:pos="1134"/>
                <w:tab w:val="left" w:pos="1418"/>
              </w:tabs>
              <w:spacing w:after="0" w:line="240" w:lineRule="auto"/>
              <w:ind w:left="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Підвищення енергоефективності житлових будівель</w:t>
            </w:r>
          </w:p>
        </w:tc>
      </w:tr>
      <w:tr w:rsidR="00275E65">
        <w:tc>
          <w:tcPr>
            <w:tcW w:w="4672" w:type="dxa"/>
            <w:vMerge/>
          </w:tcPr>
          <w:p w:rsidR="00275E65" w:rsidRDefault="00275E65">
            <w:pPr>
              <w:tabs>
                <w:tab w:val="left" w:pos="709"/>
                <w:tab w:val="left" w:pos="1418"/>
              </w:tabs>
              <w:spacing w:after="0"/>
              <w:rPr>
                <w:rFonts w:ascii="Times New Roman" w:eastAsia="Times New Roman" w:hAnsi="Times New Roman" w:cs="Times New Roman"/>
                <w:sz w:val="22"/>
                <w:szCs w:val="22"/>
              </w:rPr>
            </w:pPr>
          </w:p>
        </w:tc>
        <w:tc>
          <w:tcPr>
            <w:tcW w:w="4673" w:type="dxa"/>
          </w:tcPr>
          <w:p w:rsidR="00275E65" w:rsidRDefault="00902217">
            <w:pPr>
              <w:pStyle w:val="aff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134"/>
                <w:tab w:val="left" w:pos="1418"/>
              </w:tabs>
              <w:spacing w:after="0" w:line="240" w:lineRule="auto"/>
              <w:ind w:left="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Підвищення енергоефективності сфери теплопостачання</w:t>
            </w:r>
          </w:p>
        </w:tc>
      </w:tr>
      <w:tr w:rsidR="00275E65">
        <w:tc>
          <w:tcPr>
            <w:tcW w:w="4672" w:type="dxa"/>
            <w:vMerge/>
          </w:tcPr>
          <w:p w:rsidR="00275E65" w:rsidRDefault="00275E65">
            <w:pPr>
              <w:tabs>
                <w:tab w:val="left" w:pos="709"/>
                <w:tab w:val="left" w:pos="1418"/>
              </w:tabs>
              <w:spacing w:after="0"/>
              <w:rPr>
                <w:rFonts w:ascii="Times New Roman" w:eastAsia="Times New Roman" w:hAnsi="Times New Roman" w:cs="Times New Roman"/>
                <w:sz w:val="22"/>
                <w:szCs w:val="22"/>
              </w:rPr>
            </w:pPr>
          </w:p>
        </w:tc>
        <w:tc>
          <w:tcPr>
            <w:tcW w:w="4673" w:type="dxa"/>
          </w:tcPr>
          <w:p w:rsidR="00275E65" w:rsidRDefault="00902217">
            <w:pPr>
              <w:pStyle w:val="aff0"/>
              <w:numPr>
                <w:ilvl w:val="0"/>
                <w:numId w:val="23"/>
              </w:numPr>
              <w:tabs>
                <w:tab w:val="left" w:pos="709"/>
                <w:tab w:val="left" w:pos="1134"/>
                <w:tab w:val="left" w:pos="1418"/>
              </w:tabs>
              <w:spacing w:after="0" w:line="240" w:lineRule="auto"/>
              <w:ind w:left="0" w:firstLine="0"/>
              <w:jc w:val="both"/>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Підвищення енергоефективності сфери водопостачання і водовідведення</w:t>
            </w:r>
          </w:p>
        </w:tc>
      </w:tr>
      <w:tr w:rsidR="00275E65">
        <w:tc>
          <w:tcPr>
            <w:tcW w:w="4672" w:type="dxa"/>
            <w:vMerge/>
          </w:tcPr>
          <w:p w:rsidR="00275E65" w:rsidRDefault="00275E65">
            <w:pPr>
              <w:tabs>
                <w:tab w:val="left" w:pos="709"/>
                <w:tab w:val="left" w:pos="1418"/>
              </w:tabs>
              <w:spacing w:after="0"/>
              <w:rPr>
                <w:rFonts w:ascii="Times New Roman" w:eastAsia="Times New Roman" w:hAnsi="Times New Roman" w:cs="Times New Roman"/>
                <w:sz w:val="22"/>
                <w:szCs w:val="22"/>
                <w:lang w:val="ru-RU"/>
              </w:rPr>
            </w:pPr>
          </w:p>
        </w:tc>
        <w:tc>
          <w:tcPr>
            <w:tcW w:w="4673" w:type="dxa"/>
          </w:tcPr>
          <w:p w:rsidR="00275E65" w:rsidRDefault="00902217">
            <w:pPr>
              <w:pStyle w:val="aff0"/>
              <w:numPr>
                <w:ilvl w:val="0"/>
                <w:numId w:val="23"/>
              </w:numPr>
              <w:tabs>
                <w:tab w:val="left" w:pos="709"/>
                <w:tab w:val="left" w:pos="1134"/>
                <w:tab w:val="left" w:pos="1418"/>
              </w:tabs>
              <w:spacing w:after="0" w:line="240" w:lineRule="auto"/>
              <w:ind w:left="0" w:firstLine="0"/>
              <w:jc w:val="both"/>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Підвищення енергоефективності сфери управління побутовими відходами</w:t>
            </w:r>
          </w:p>
        </w:tc>
      </w:tr>
      <w:tr w:rsidR="00275E65">
        <w:tc>
          <w:tcPr>
            <w:tcW w:w="4672" w:type="dxa"/>
            <w:vMerge/>
          </w:tcPr>
          <w:p w:rsidR="00275E65" w:rsidRDefault="00275E65">
            <w:pPr>
              <w:tabs>
                <w:tab w:val="left" w:pos="709"/>
                <w:tab w:val="left" w:pos="1418"/>
              </w:tabs>
              <w:spacing w:after="0"/>
              <w:rPr>
                <w:rFonts w:ascii="Times New Roman" w:eastAsia="Times New Roman" w:hAnsi="Times New Roman" w:cs="Times New Roman"/>
                <w:sz w:val="22"/>
                <w:szCs w:val="22"/>
                <w:lang w:val="ru-RU"/>
              </w:rPr>
            </w:pPr>
          </w:p>
        </w:tc>
        <w:tc>
          <w:tcPr>
            <w:tcW w:w="4673" w:type="dxa"/>
          </w:tcPr>
          <w:p w:rsidR="00275E65" w:rsidRDefault="00902217">
            <w:pPr>
              <w:pStyle w:val="aff0"/>
              <w:numPr>
                <w:ilvl w:val="0"/>
                <w:numId w:val="23"/>
              </w:numPr>
              <w:tabs>
                <w:tab w:val="left" w:pos="709"/>
                <w:tab w:val="left" w:pos="1134"/>
                <w:tab w:val="left" w:pos="1418"/>
              </w:tabs>
              <w:spacing w:after="0" w:line="240" w:lineRule="auto"/>
              <w:ind w:left="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Підвищення енергоефективності зовнішнього освітлення</w:t>
            </w:r>
          </w:p>
        </w:tc>
      </w:tr>
      <w:tr w:rsidR="00275E65">
        <w:tc>
          <w:tcPr>
            <w:tcW w:w="4672" w:type="dxa"/>
            <w:vMerge/>
          </w:tcPr>
          <w:p w:rsidR="00275E65" w:rsidRDefault="00275E65">
            <w:pPr>
              <w:tabs>
                <w:tab w:val="left" w:pos="709"/>
                <w:tab w:val="left" w:pos="1418"/>
              </w:tabs>
              <w:spacing w:after="0"/>
              <w:rPr>
                <w:rFonts w:ascii="Times New Roman" w:eastAsia="Times New Roman" w:hAnsi="Times New Roman" w:cs="Times New Roman"/>
                <w:sz w:val="22"/>
                <w:szCs w:val="22"/>
              </w:rPr>
            </w:pPr>
          </w:p>
        </w:tc>
        <w:tc>
          <w:tcPr>
            <w:tcW w:w="4673" w:type="dxa"/>
          </w:tcPr>
          <w:p w:rsidR="00275E65" w:rsidRDefault="00902217">
            <w:pPr>
              <w:pStyle w:val="aff0"/>
              <w:numPr>
                <w:ilvl w:val="0"/>
                <w:numId w:val="23"/>
              </w:numPr>
              <w:tabs>
                <w:tab w:val="left" w:pos="709"/>
                <w:tab w:val="left" w:pos="1134"/>
                <w:tab w:val="left" w:pos="1418"/>
              </w:tabs>
              <w:spacing w:after="0" w:line="240" w:lineRule="auto"/>
              <w:ind w:left="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Підвищення енергоефективності громадського транспорту</w:t>
            </w:r>
          </w:p>
        </w:tc>
      </w:tr>
      <w:tr w:rsidR="00275E65">
        <w:tc>
          <w:tcPr>
            <w:tcW w:w="4672" w:type="dxa"/>
            <w:vMerge w:val="restart"/>
          </w:tcPr>
          <w:p w:rsidR="00275E65" w:rsidRDefault="00902217">
            <w:pPr>
              <w:pStyle w:val="aff0"/>
              <w:numPr>
                <w:ilvl w:val="0"/>
                <w:numId w:val="22"/>
              </w:numPr>
              <w:tabs>
                <w:tab w:val="left" w:pos="709"/>
                <w:tab w:val="left" w:pos="1134"/>
                <w:tab w:val="left" w:pos="1418"/>
              </w:tabs>
              <w:spacing w:after="0" w:line="240" w:lineRule="auto"/>
              <w:ind w:left="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Розвиток ВДЕ громади</w:t>
            </w:r>
          </w:p>
        </w:tc>
        <w:tc>
          <w:tcPr>
            <w:tcW w:w="4673" w:type="dxa"/>
          </w:tcPr>
          <w:p w:rsidR="00275E65" w:rsidRDefault="00902217">
            <w:pPr>
              <w:pStyle w:val="aff0"/>
              <w:numPr>
                <w:ilvl w:val="0"/>
                <w:numId w:val="24"/>
              </w:numPr>
              <w:tabs>
                <w:tab w:val="left" w:pos="709"/>
                <w:tab w:val="left" w:pos="1134"/>
                <w:tab w:val="left" w:pos="1418"/>
              </w:tabs>
              <w:spacing w:after="0" w:line="240" w:lineRule="auto"/>
              <w:ind w:left="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Розвиток ВДЕ громадських будівель</w:t>
            </w:r>
          </w:p>
        </w:tc>
      </w:tr>
      <w:tr w:rsidR="00275E65">
        <w:tc>
          <w:tcPr>
            <w:tcW w:w="4672" w:type="dxa"/>
            <w:vMerge/>
          </w:tcPr>
          <w:p w:rsidR="00275E65" w:rsidRDefault="00275E65">
            <w:pPr>
              <w:tabs>
                <w:tab w:val="left" w:pos="709"/>
                <w:tab w:val="left" w:pos="1418"/>
              </w:tabs>
              <w:spacing w:after="0"/>
              <w:rPr>
                <w:rFonts w:ascii="Times New Roman" w:eastAsia="Times New Roman" w:hAnsi="Times New Roman" w:cs="Times New Roman"/>
                <w:sz w:val="22"/>
                <w:szCs w:val="22"/>
              </w:rPr>
            </w:pPr>
          </w:p>
        </w:tc>
        <w:tc>
          <w:tcPr>
            <w:tcW w:w="4673" w:type="dxa"/>
          </w:tcPr>
          <w:p w:rsidR="00275E65" w:rsidRDefault="00902217">
            <w:pPr>
              <w:pStyle w:val="aff0"/>
              <w:numPr>
                <w:ilvl w:val="0"/>
                <w:numId w:val="24"/>
              </w:numPr>
              <w:tabs>
                <w:tab w:val="left" w:pos="709"/>
                <w:tab w:val="left" w:pos="1134"/>
                <w:tab w:val="left" w:pos="1418"/>
              </w:tabs>
              <w:spacing w:after="0" w:line="240" w:lineRule="auto"/>
              <w:ind w:left="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Розвиток ВДЕ житлових будівель</w:t>
            </w:r>
          </w:p>
        </w:tc>
      </w:tr>
      <w:tr w:rsidR="00275E65">
        <w:tc>
          <w:tcPr>
            <w:tcW w:w="4672" w:type="dxa"/>
            <w:vMerge/>
          </w:tcPr>
          <w:p w:rsidR="00275E65" w:rsidRDefault="00275E65">
            <w:pPr>
              <w:tabs>
                <w:tab w:val="left" w:pos="709"/>
                <w:tab w:val="left" w:pos="1418"/>
              </w:tabs>
              <w:spacing w:after="0"/>
              <w:rPr>
                <w:rFonts w:ascii="Times New Roman" w:eastAsia="Times New Roman" w:hAnsi="Times New Roman" w:cs="Times New Roman"/>
                <w:sz w:val="22"/>
                <w:szCs w:val="22"/>
              </w:rPr>
            </w:pPr>
          </w:p>
        </w:tc>
        <w:tc>
          <w:tcPr>
            <w:tcW w:w="4673" w:type="dxa"/>
          </w:tcPr>
          <w:p w:rsidR="00275E65" w:rsidRDefault="00902217">
            <w:pPr>
              <w:pStyle w:val="aff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1134"/>
                <w:tab w:val="left" w:pos="1418"/>
              </w:tabs>
              <w:spacing w:after="0" w:line="240" w:lineRule="auto"/>
              <w:ind w:left="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Розвиток ВДЕ сфери теплопостачання</w:t>
            </w:r>
          </w:p>
        </w:tc>
      </w:tr>
      <w:tr w:rsidR="00275E65">
        <w:tc>
          <w:tcPr>
            <w:tcW w:w="4672" w:type="dxa"/>
            <w:vMerge/>
          </w:tcPr>
          <w:p w:rsidR="00275E65" w:rsidRDefault="00275E65">
            <w:pPr>
              <w:tabs>
                <w:tab w:val="left" w:pos="709"/>
                <w:tab w:val="left" w:pos="1418"/>
              </w:tabs>
              <w:spacing w:after="0"/>
              <w:rPr>
                <w:rFonts w:ascii="Times New Roman" w:eastAsia="Times New Roman" w:hAnsi="Times New Roman" w:cs="Times New Roman"/>
                <w:sz w:val="22"/>
                <w:szCs w:val="22"/>
              </w:rPr>
            </w:pPr>
          </w:p>
        </w:tc>
        <w:tc>
          <w:tcPr>
            <w:tcW w:w="4673" w:type="dxa"/>
          </w:tcPr>
          <w:p w:rsidR="00275E65" w:rsidRDefault="00902217">
            <w:pPr>
              <w:pStyle w:val="aff0"/>
              <w:numPr>
                <w:ilvl w:val="0"/>
                <w:numId w:val="24"/>
              </w:numPr>
              <w:tabs>
                <w:tab w:val="left" w:pos="709"/>
                <w:tab w:val="left" w:pos="1134"/>
                <w:tab w:val="left" w:pos="1418"/>
              </w:tabs>
              <w:spacing w:after="0" w:line="240" w:lineRule="auto"/>
              <w:ind w:left="0" w:firstLine="0"/>
              <w:jc w:val="both"/>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Розвиток ВДЕ сфери водопостачання і водовідведення</w:t>
            </w:r>
          </w:p>
        </w:tc>
      </w:tr>
      <w:tr w:rsidR="00275E65">
        <w:tc>
          <w:tcPr>
            <w:tcW w:w="4672" w:type="dxa"/>
            <w:vMerge/>
          </w:tcPr>
          <w:p w:rsidR="00275E65" w:rsidRDefault="00275E65">
            <w:pPr>
              <w:tabs>
                <w:tab w:val="left" w:pos="709"/>
                <w:tab w:val="left" w:pos="1418"/>
              </w:tabs>
              <w:spacing w:after="0"/>
              <w:rPr>
                <w:rFonts w:ascii="Times New Roman" w:eastAsia="Times New Roman" w:hAnsi="Times New Roman" w:cs="Times New Roman"/>
                <w:sz w:val="22"/>
                <w:szCs w:val="22"/>
                <w:lang w:val="ru-RU"/>
              </w:rPr>
            </w:pPr>
          </w:p>
        </w:tc>
        <w:tc>
          <w:tcPr>
            <w:tcW w:w="4673" w:type="dxa"/>
          </w:tcPr>
          <w:p w:rsidR="00275E65" w:rsidRDefault="00902217">
            <w:pPr>
              <w:pStyle w:val="aff0"/>
              <w:numPr>
                <w:ilvl w:val="0"/>
                <w:numId w:val="24"/>
              </w:numPr>
              <w:tabs>
                <w:tab w:val="left" w:pos="709"/>
                <w:tab w:val="left" w:pos="1134"/>
                <w:tab w:val="left" w:pos="1418"/>
              </w:tabs>
              <w:spacing w:after="0" w:line="240" w:lineRule="auto"/>
              <w:ind w:left="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Розвиток ВДЕ зовнішнього освітлення</w:t>
            </w:r>
          </w:p>
        </w:tc>
      </w:tr>
    </w:tbl>
    <w:p w:rsidR="00275E65" w:rsidRDefault="00902217">
      <w:pPr>
        <w:tabs>
          <w:tab w:val="left" w:pos="709"/>
        </w:tabs>
        <w:ind w:firstLine="567"/>
        <w:jc w:val="both"/>
        <w:rPr>
          <w:rFonts w:ascii="Times New Roman" w:eastAsia="Times New Roman" w:hAnsi="Times New Roman" w:cs="Times New Roman"/>
          <w:b/>
          <w:bCs/>
          <w:color w:val="FF0000"/>
          <w:lang w:val="uk-UA"/>
        </w:rPr>
      </w:pPr>
      <w:r>
        <w:rPr>
          <w:rFonts w:ascii="Times New Roman" w:eastAsiaTheme="minorEastAsia" w:hAnsi="Times New Roman" w:cstheme="minorHAnsi"/>
        </w:rPr>
        <w:t xml:space="preserve">Основною метою «Муніципальний енергетичного плану Носівської територіальної громади до 2030 року» є зменшення споживання енергетичних ресурсів на території, що підпорядкована місту, щонайменше на </w:t>
      </w:r>
      <w:r>
        <w:rPr>
          <w:rFonts w:ascii="Times New Roman" w:eastAsiaTheme="minorEastAsia" w:hAnsi="Times New Roman" w:cstheme="minorHAnsi"/>
          <w:b/>
          <w:bCs/>
          <w:lang w:val="uk-UA"/>
        </w:rPr>
        <w:t>7</w:t>
      </w:r>
      <w:r>
        <w:rPr>
          <w:rFonts w:ascii="Times New Roman" w:eastAsiaTheme="minorEastAsia" w:hAnsi="Times New Roman" w:cstheme="minorHAnsi"/>
        </w:rPr>
        <w:t xml:space="preserve"> </w:t>
      </w:r>
      <w:r>
        <w:rPr>
          <w:rFonts w:ascii="Times New Roman" w:eastAsiaTheme="minorEastAsia" w:hAnsi="Times New Roman" w:cstheme="minorHAnsi"/>
        </w:rPr>
        <w:t xml:space="preserve">%  та підвищення використання частки відновлюваних джерел енергії на  </w:t>
      </w:r>
      <w:r>
        <w:rPr>
          <w:rFonts w:ascii="Times New Roman" w:eastAsiaTheme="minorEastAsia" w:hAnsi="Times New Roman" w:cstheme="minorHAnsi"/>
          <w:b/>
          <w:bCs/>
          <w:lang w:val="uk-UA"/>
        </w:rPr>
        <w:t>10,7</w:t>
      </w:r>
      <w:r>
        <w:rPr>
          <w:rFonts w:ascii="Times New Roman" w:eastAsiaTheme="minorEastAsia" w:hAnsi="Times New Roman" w:cstheme="minorHAnsi"/>
        </w:rPr>
        <w:t xml:space="preserve"> % відносно базового рівня споживання енергетичних ресурсів. </w:t>
      </w:r>
    </w:p>
    <w:p w:rsidR="00275E65" w:rsidRDefault="00275E65">
      <w:pPr>
        <w:tabs>
          <w:tab w:val="left" w:pos="709"/>
          <w:tab w:val="left" w:pos="1418"/>
        </w:tabs>
        <w:spacing w:after="0"/>
        <w:ind w:firstLine="567"/>
        <w:rPr>
          <w:rFonts w:eastAsia="Times New Roman" w:cstheme="minorHAnsi"/>
          <w:sz w:val="24"/>
          <w:szCs w:val="24"/>
        </w:rPr>
      </w:pPr>
    </w:p>
    <w:tbl>
      <w:tblPr>
        <w:tblW w:w="9552" w:type="dxa"/>
        <w:tblLook w:val="04A0" w:firstRow="1" w:lastRow="0" w:firstColumn="1" w:lastColumn="0" w:noHBand="0" w:noVBand="1"/>
      </w:tblPr>
      <w:tblGrid>
        <w:gridCol w:w="1833"/>
        <w:gridCol w:w="1559"/>
        <w:gridCol w:w="2020"/>
        <w:gridCol w:w="1120"/>
        <w:gridCol w:w="1760"/>
        <w:gridCol w:w="1260"/>
      </w:tblGrid>
      <w:tr w:rsidR="00275E65">
        <w:trPr>
          <w:trHeight w:val="720"/>
        </w:trPr>
        <w:tc>
          <w:tcPr>
            <w:tcW w:w="1833" w:type="dxa"/>
            <w:vMerge w:val="restart"/>
            <w:tcBorders>
              <w:top w:val="single" w:sz="8" w:space="0" w:color="000000"/>
              <w:left w:val="single" w:sz="8"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Назва сектора</w:t>
            </w:r>
          </w:p>
        </w:tc>
        <w:tc>
          <w:tcPr>
            <w:tcW w:w="1559" w:type="dxa"/>
            <w:vMerge w:val="restart"/>
            <w:tcBorders>
              <w:top w:val="single" w:sz="8" w:space="0" w:color="000000"/>
              <w:left w:val="none" w:sz="4"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Базове споживання енергії</w:t>
            </w:r>
          </w:p>
        </w:tc>
        <w:tc>
          <w:tcPr>
            <w:tcW w:w="6160" w:type="dxa"/>
            <w:gridSpan w:val="4"/>
            <w:tcBorders>
              <w:top w:val="single" w:sz="8"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Цілі сталого енергетичного розвитку</w:t>
            </w:r>
          </w:p>
        </w:tc>
      </w:tr>
      <w:tr w:rsidR="00275E65">
        <w:trPr>
          <w:trHeight w:val="288"/>
        </w:trPr>
        <w:tc>
          <w:tcPr>
            <w:tcW w:w="1833"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rPr>
                <w:rFonts w:ascii="Times New Roman" w:eastAsia="Times New Roman" w:hAnsi="Times New Roman" w:cs="Times New Roman"/>
                <w:color w:val="000000"/>
              </w:rPr>
            </w:pPr>
          </w:p>
        </w:tc>
        <w:tc>
          <w:tcPr>
            <w:tcW w:w="1559" w:type="dxa"/>
            <w:vMerge/>
            <w:tcBorders>
              <w:left w:val="none" w:sz="4" w:space="0" w:color="000000"/>
              <w:right w:val="single" w:sz="8" w:space="0" w:color="000000"/>
            </w:tcBorders>
            <w:shd w:val="clear" w:color="000000" w:fill="E7E6E6"/>
            <w:vAlign w:val="center"/>
          </w:tcPr>
          <w:p w:rsidR="00275E65" w:rsidRDefault="00275E65">
            <w:pPr>
              <w:spacing w:after="0" w:line="240" w:lineRule="auto"/>
              <w:jc w:val="center"/>
              <w:rPr>
                <w:rFonts w:ascii="Times New Roman" w:eastAsia="Times New Roman" w:hAnsi="Times New Roman" w:cs="Times New Roman"/>
                <w:color w:val="000000"/>
              </w:rPr>
            </w:pPr>
          </w:p>
        </w:tc>
        <w:tc>
          <w:tcPr>
            <w:tcW w:w="6160" w:type="dxa"/>
            <w:gridSpan w:val="4"/>
            <w:tcBorders>
              <w:top w:val="single" w:sz="8"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2030</w:t>
            </w:r>
          </w:p>
        </w:tc>
      </w:tr>
      <w:tr w:rsidR="00275E65">
        <w:trPr>
          <w:trHeight w:val="564"/>
        </w:trPr>
        <w:tc>
          <w:tcPr>
            <w:tcW w:w="1833"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rPr>
                <w:rFonts w:ascii="Times New Roman" w:eastAsia="Times New Roman" w:hAnsi="Times New Roman" w:cs="Times New Roman"/>
                <w:color w:val="000000"/>
              </w:rPr>
            </w:pPr>
          </w:p>
        </w:tc>
        <w:tc>
          <w:tcPr>
            <w:tcW w:w="1559" w:type="dxa"/>
            <w:vMerge/>
            <w:tcBorders>
              <w:left w:val="none" w:sz="4" w:space="0" w:color="000000"/>
              <w:bottom w:val="single" w:sz="8" w:space="0" w:color="000000"/>
              <w:right w:val="single" w:sz="8" w:space="0" w:color="000000"/>
            </w:tcBorders>
            <w:shd w:val="clear" w:color="000000" w:fill="E7E6E6"/>
            <w:vAlign w:val="center"/>
          </w:tcPr>
          <w:p w:rsidR="00275E65" w:rsidRDefault="00275E65">
            <w:pPr>
              <w:spacing w:after="0" w:line="240" w:lineRule="auto"/>
              <w:jc w:val="center"/>
              <w:rPr>
                <w:rFonts w:ascii="Times New Roman" w:eastAsia="Times New Roman" w:hAnsi="Times New Roman" w:cs="Times New Roman"/>
                <w:color w:val="000000"/>
              </w:rPr>
            </w:pPr>
          </w:p>
        </w:tc>
        <w:tc>
          <w:tcPr>
            <w:tcW w:w="3140" w:type="dxa"/>
            <w:gridSpan w:val="2"/>
            <w:tcBorders>
              <w:top w:val="single" w:sz="8"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Підвищення енергоефективності</w:t>
            </w:r>
          </w:p>
        </w:tc>
        <w:tc>
          <w:tcPr>
            <w:tcW w:w="3020" w:type="dxa"/>
            <w:gridSpan w:val="2"/>
            <w:tcBorders>
              <w:top w:val="single" w:sz="8"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Розвиток ВДЕ</w:t>
            </w:r>
          </w:p>
        </w:tc>
      </w:tr>
      <w:tr w:rsidR="00275E65">
        <w:trPr>
          <w:trHeight w:val="288"/>
        </w:trPr>
        <w:tc>
          <w:tcPr>
            <w:tcW w:w="1833"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rPr>
                <w:rFonts w:ascii="Times New Roman" w:eastAsia="Times New Roman" w:hAnsi="Times New Roman" w:cs="Times New Roman"/>
                <w:color w:val="000000"/>
              </w:rPr>
            </w:pPr>
          </w:p>
        </w:tc>
        <w:tc>
          <w:tcPr>
            <w:tcW w:w="1559" w:type="dxa"/>
            <w:tcBorders>
              <w:top w:val="none" w:sz="4"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2020" w:type="dxa"/>
            <w:tcBorders>
              <w:top w:val="none" w:sz="4"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12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60" w:type="dxa"/>
            <w:tcBorders>
              <w:top w:val="none" w:sz="4"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26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Обов'язкові сектори</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Громадські будівлі</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13 648,52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6 648,83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48,7</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190,00  </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Житлові будівлі</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180 593,06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7 031,20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7531</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Сфера теплопостачання</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177,00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0,00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13250</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7485,9</w:t>
            </w:r>
          </w:p>
        </w:tc>
      </w:tr>
      <w:tr w:rsidR="00275E65">
        <w:trPr>
          <w:trHeight w:val="564"/>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Сфера водопостачання і водовідведення</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256,41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31,32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12,2</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58,1</w:t>
            </w:r>
          </w:p>
        </w:tc>
      </w:tr>
      <w:tr w:rsidR="00275E65">
        <w:trPr>
          <w:trHeight w:val="564"/>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Сфера управління побутовими відходами</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95,92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0,00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Зовнішнє освітлення</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192,80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29,88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Громадський транспорт</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2 067,00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0,00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ЗАГАЛОМ</w:t>
            </w:r>
          </w:p>
        </w:tc>
        <w:tc>
          <w:tcPr>
            <w:tcW w:w="1559"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197 030,71  </w:t>
            </w:r>
          </w:p>
        </w:tc>
        <w:tc>
          <w:tcPr>
            <w:tcW w:w="202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13 741,23  </w:t>
            </w:r>
          </w:p>
        </w:tc>
        <w:tc>
          <w:tcPr>
            <w:tcW w:w="112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FF0000"/>
              </w:rPr>
            </w:pPr>
            <w:r>
              <w:rPr>
                <w:rFonts w:ascii="Times New Roman" w:eastAsia="Times New Roman" w:hAnsi="Times New Roman" w:cs="Times New Roman"/>
                <w:b/>
                <w:bCs/>
                <w:color w:val="FF0000"/>
              </w:rPr>
              <w:t>7,0</w:t>
            </w:r>
          </w:p>
        </w:tc>
        <w:tc>
          <w:tcPr>
            <w:tcW w:w="176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21 120,00  </w:t>
            </w:r>
          </w:p>
        </w:tc>
        <w:tc>
          <w:tcPr>
            <w:tcW w:w="126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FF0000"/>
              </w:rPr>
            </w:pPr>
            <w:r>
              <w:rPr>
                <w:rFonts w:ascii="Times New Roman" w:eastAsia="Times New Roman" w:hAnsi="Times New Roman" w:cs="Times New Roman"/>
                <w:b/>
                <w:bCs/>
                <w:color w:val="FF0000"/>
              </w:rPr>
              <w:t>10,7</w:t>
            </w:r>
          </w:p>
        </w:tc>
      </w:tr>
    </w:tbl>
    <w:p w:rsidR="00275E65" w:rsidRDefault="00275E65">
      <w:pPr>
        <w:tabs>
          <w:tab w:val="left" w:pos="709"/>
          <w:tab w:val="left" w:pos="1418"/>
        </w:tabs>
        <w:spacing w:after="0"/>
        <w:ind w:firstLine="567"/>
        <w:rPr>
          <w:rFonts w:eastAsia="Times New Roman" w:cstheme="minorHAnsi"/>
          <w:sz w:val="24"/>
          <w:szCs w:val="24"/>
        </w:rPr>
      </w:pPr>
    </w:p>
    <w:p w:rsidR="00275E65" w:rsidRDefault="00902217">
      <w:pPr>
        <w:tabs>
          <w:tab w:val="left" w:pos="709"/>
          <w:tab w:val="left" w:pos="1418"/>
        </w:tabs>
        <w:spacing w:after="0"/>
        <w:ind w:firstLine="567"/>
        <w:jc w:val="both"/>
        <w:rPr>
          <w:rFonts w:ascii="Times New Roman" w:eastAsia="Times New Roman" w:hAnsi="Times New Roman" w:cs="Times New Roman"/>
        </w:rPr>
      </w:pPr>
      <w:r>
        <w:rPr>
          <w:rFonts w:ascii="Times New Roman" w:eastAsiaTheme="minorEastAsia" w:hAnsi="Times New Roman" w:cstheme="minorHAnsi"/>
        </w:rPr>
        <w:t>Якщо брати до уваги, сектори, на які громада має безпосередній вплив та можливість виділяти кошти на заходи з енергоефективності та підвищення частки використання ВДЕ, тоді цілі громади виглядають більш амбітними.</w:t>
      </w:r>
    </w:p>
    <w:p w:rsidR="00275E65" w:rsidRDefault="00902217">
      <w:pPr>
        <w:tabs>
          <w:tab w:val="left" w:pos="709"/>
          <w:tab w:val="left" w:pos="1418"/>
        </w:tabs>
        <w:spacing w:after="0"/>
        <w:ind w:firstLine="567"/>
        <w:jc w:val="both"/>
        <w:rPr>
          <w:rFonts w:ascii="Times New Roman" w:eastAsia="Times New Roman" w:hAnsi="Times New Roman" w:cs="Times New Roman"/>
          <w:lang w:val="ru-RU"/>
        </w:rPr>
      </w:pPr>
      <w:r>
        <w:rPr>
          <w:rFonts w:ascii="Times New Roman" w:eastAsiaTheme="minorEastAsia" w:hAnsi="Times New Roman" w:cstheme="minorHAnsi"/>
          <w:lang w:val="ru-RU"/>
        </w:rPr>
        <w:t>Так як споживання енергії сектором житлови</w:t>
      </w:r>
      <w:r>
        <w:rPr>
          <w:rFonts w:ascii="Times New Roman" w:eastAsiaTheme="minorEastAsia" w:hAnsi="Times New Roman" w:cstheme="minorHAnsi"/>
          <w:lang w:val="ru-RU"/>
        </w:rPr>
        <w:t>х будівель складає понад 90% від загального споживання енергетичних ресурсів, нижче наведено споживання по секторах, за які відповідальна органи місцевого самоврядування.</w:t>
      </w:r>
    </w:p>
    <w:p w:rsidR="00275E65" w:rsidRDefault="00902217">
      <w:pPr>
        <w:tabs>
          <w:tab w:val="left" w:pos="709"/>
          <w:tab w:val="left" w:pos="1418"/>
        </w:tabs>
        <w:spacing w:after="0"/>
        <w:ind w:firstLine="567"/>
        <w:rPr>
          <w:lang w:val="ru-RU"/>
        </w:rPr>
      </w:pPr>
      <w:r>
        <w:rPr>
          <w:rFonts w:eastAsiaTheme="minorEastAsia" w:cstheme="minorHAnsi"/>
          <w:sz w:val="24"/>
          <w:szCs w:val="24"/>
        </w:rPr>
        <w:fldChar w:fldCharType="begin"/>
      </w:r>
      <w:r>
        <w:rPr>
          <w:rFonts w:eastAsiaTheme="minorEastAsia" w:cstheme="minorHAnsi"/>
          <w:sz w:val="24"/>
          <w:szCs w:val="24"/>
          <w:lang w:val="ru-RU"/>
        </w:rPr>
        <w:instrText xml:space="preserve"> </w:instrText>
      </w:r>
      <w:r>
        <w:rPr>
          <w:rFonts w:eastAsiaTheme="minorEastAsia" w:cstheme="minorHAnsi"/>
          <w:sz w:val="24"/>
          <w:szCs w:val="24"/>
        </w:rPr>
        <w:instrText>LINK</w:instrText>
      </w:r>
      <w:r>
        <w:rPr>
          <w:rFonts w:eastAsiaTheme="minorEastAsia" w:cstheme="minorHAnsi"/>
          <w:sz w:val="24"/>
          <w:szCs w:val="24"/>
          <w:lang w:val="ru-RU"/>
        </w:rPr>
        <w:instrText xml:space="preserve"> </w:instrText>
      </w:r>
      <w:r>
        <w:rPr>
          <w:rFonts w:eastAsiaTheme="minorEastAsia" w:cstheme="minorHAnsi"/>
          <w:sz w:val="24"/>
          <w:szCs w:val="24"/>
        </w:rPr>
        <w:instrText>Excel</w:instrText>
      </w:r>
      <w:r>
        <w:rPr>
          <w:rFonts w:eastAsiaTheme="minorEastAsia" w:cstheme="minorHAnsi"/>
          <w:sz w:val="24"/>
          <w:szCs w:val="24"/>
          <w:lang w:val="ru-RU"/>
        </w:rPr>
        <w:instrText>.</w:instrText>
      </w:r>
      <w:r>
        <w:rPr>
          <w:rFonts w:eastAsiaTheme="minorEastAsia" w:cstheme="minorHAnsi"/>
          <w:sz w:val="24"/>
          <w:szCs w:val="24"/>
        </w:rPr>
        <w:instrText>Sheet</w:instrText>
      </w:r>
      <w:r>
        <w:rPr>
          <w:rFonts w:eastAsiaTheme="minorEastAsia" w:cstheme="minorHAnsi"/>
          <w:sz w:val="24"/>
          <w:szCs w:val="24"/>
          <w:lang w:val="ru-RU"/>
        </w:rPr>
        <w:instrText>.12 "</w:instrText>
      </w:r>
      <w:r>
        <w:rPr>
          <w:rFonts w:eastAsiaTheme="minorEastAsia" w:cstheme="minorHAnsi"/>
          <w:sz w:val="24"/>
          <w:szCs w:val="24"/>
        </w:rPr>
        <w:instrText>D</w:instrText>
      </w:r>
      <w:r>
        <w:rPr>
          <w:rFonts w:eastAsiaTheme="minorEastAsia" w:cstheme="minorHAnsi"/>
          <w:sz w:val="24"/>
          <w:szCs w:val="24"/>
          <w:lang w:val="ru-RU"/>
        </w:rPr>
        <w:instrText>:\\!!!!!!!!!!!!!!!!!!!!!!РАБОТА\\! стартер МЕП\\Мое\\цілі та з</w:instrText>
      </w:r>
      <w:r>
        <w:rPr>
          <w:rFonts w:eastAsiaTheme="minorEastAsia" w:cstheme="minorHAnsi"/>
          <w:sz w:val="24"/>
          <w:szCs w:val="24"/>
          <w:lang w:val="ru-RU"/>
        </w:rPr>
        <w:instrText>аходи\\Заходи таблиця.</w:instrText>
      </w:r>
      <w:r>
        <w:rPr>
          <w:rFonts w:eastAsiaTheme="minorEastAsia" w:cstheme="minorHAnsi"/>
          <w:sz w:val="24"/>
          <w:szCs w:val="24"/>
        </w:rPr>
        <w:instrText>xlsx</w:instrText>
      </w:r>
      <w:r>
        <w:rPr>
          <w:rFonts w:eastAsiaTheme="minorEastAsia" w:cstheme="minorHAnsi"/>
          <w:sz w:val="24"/>
          <w:szCs w:val="24"/>
          <w:lang w:val="ru-RU"/>
        </w:rPr>
        <w:instrText>" "Цілі!</w:instrText>
      </w:r>
      <w:r>
        <w:rPr>
          <w:rFonts w:eastAsiaTheme="minorEastAsia" w:cstheme="minorHAnsi"/>
          <w:sz w:val="24"/>
          <w:szCs w:val="24"/>
        </w:rPr>
        <w:instrText>R</w:instrText>
      </w:r>
      <w:r>
        <w:rPr>
          <w:rFonts w:eastAsiaTheme="minorEastAsia" w:cstheme="minorHAnsi"/>
          <w:sz w:val="24"/>
          <w:szCs w:val="24"/>
          <w:lang w:val="ru-RU"/>
        </w:rPr>
        <w:instrText>21</w:instrText>
      </w:r>
      <w:r>
        <w:rPr>
          <w:rFonts w:eastAsiaTheme="minorEastAsia" w:cstheme="minorHAnsi"/>
          <w:sz w:val="24"/>
          <w:szCs w:val="24"/>
        </w:rPr>
        <w:instrText>C</w:instrText>
      </w:r>
      <w:r>
        <w:rPr>
          <w:rFonts w:eastAsiaTheme="minorEastAsia" w:cstheme="minorHAnsi"/>
          <w:sz w:val="24"/>
          <w:szCs w:val="24"/>
          <w:lang w:val="ru-RU"/>
        </w:rPr>
        <w:instrText>2:</w:instrText>
      </w:r>
      <w:r>
        <w:rPr>
          <w:rFonts w:eastAsiaTheme="minorEastAsia" w:cstheme="minorHAnsi"/>
          <w:sz w:val="24"/>
          <w:szCs w:val="24"/>
        </w:rPr>
        <w:instrText>R</w:instrText>
      </w:r>
      <w:r>
        <w:rPr>
          <w:rFonts w:eastAsiaTheme="minorEastAsia" w:cstheme="minorHAnsi"/>
          <w:sz w:val="24"/>
          <w:szCs w:val="24"/>
          <w:lang w:val="ru-RU"/>
        </w:rPr>
        <w:instrText>32</w:instrText>
      </w:r>
      <w:r>
        <w:rPr>
          <w:rFonts w:eastAsiaTheme="minorEastAsia" w:cstheme="minorHAnsi"/>
          <w:sz w:val="24"/>
          <w:szCs w:val="24"/>
        </w:rPr>
        <w:instrText>C</w:instrText>
      </w:r>
      <w:r>
        <w:rPr>
          <w:rFonts w:eastAsiaTheme="minorEastAsia" w:cstheme="minorHAnsi"/>
          <w:sz w:val="24"/>
          <w:szCs w:val="24"/>
          <w:lang w:val="ru-RU"/>
        </w:rPr>
        <w:instrText>7" \</w:instrText>
      </w:r>
      <w:r>
        <w:rPr>
          <w:rFonts w:eastAsiaTheme="minorEastAsia" w:cstheme="minorHAnsi"/>
          <w:sz w:val="24"/>
          <w:szCs w:val="24"/>
        </w:rPr>
        <w:instrText>a</w:instrText>
      </w:r>
      <w:r>
        <w:rPr>
          <w:rFonts w:eastAsiaTheme="minorEastAsia" w:cstheme="minorHAnsi"/>
          <w:sz w:val="24"/>
          <w:szCs w:val="24"/>
          <w:lang w:val="ru-RU"/>
        </w:rPr>
        <w:instrText xml:space="preserve"> \</w:instrText>
      </w:r>
      <w:r>
        <w:rPr>
          <w:rFonts w:eastAsiaTheme="minorEastAsia" w:cstheme="minorHAnsi"/>
          <w:sz w:val="24"/>
          <w:szCs w:val="24"/>
        </w:rPr>
        <w:instrText>f</w:instrText>
      </w:r>
      <w:r>
        <w:rPr>
          <w:rFonts w:eastAsiaTheme="minorEastAsia" w:cstheme="minorHAnsi"/>
          <w:sz w:val="24"/>
          <w:szCs w:val="24"/>
          <w:lang w:val="ru-RU"/>
        </w:rPr>
        <w:instrText xml:space="preserve"> 4 \</w:instrText>
      </w:r>
      <w:r>
        <w:rPr>
          <w:rFonts w:eastAsiaTheme="minorEastAsia" w:cstheme="minorHAnsi"/>
          <w:sz w:val="24"/>
          <w:szCs w:val="24"/>
        </w:rPr>
        <w:instrText>h</w:instrText>
      </w:r>
      <w:r>
        <w:rPr>
          <w:rFonts w:eastAsiaTheme="minorEastAsia" w:cstheme="minorHAnsi"/>
          <w:sz w:val="24"/>
          <w:szCs w:val="24"/>
          <w:lang w:val="ru-RU"/>
        </w:rPr>
        <w:instrText xml:space="preserve">  \* </w:instrText>
      </w:r>
      <w:r>
        <w:rPr>
          <w:rFonts w:eastAsiaTheme="minorEastAsia" w:cstheme="minorHAnsi"/>
          <w:sz w:val="24"/>
          <w:szCs w:val="24"/>
        </w:rPr>
        <w:instrText>MERGEFORMAT</w:instrText>
      </w:r>
      <w:r>
        <w:rPr>
          <w:rFonts w:eastAsiaTheme="minorEastAsia" w:cstheme="minorHAnsi"/>
          <w:sz w:val="24"/>
          <w:szCs w:val="24"/>
          <w:lang w:val="ru-RU"/>
        </w:rPr>
        <w:instrText xml:space="preserve"> </w:instrText>
      </w:r>
      <w:r>
        <w:rPr>
          <w:rFonts w:eastAsiaTheme="minorEastAsia" w:cstheme="minorHAnsi"/>
          <w:sz w:val="24"/>
          <w:szCs w:val="24"/>
        </w:rPr>
        <w:fldChar w:fldCharType="separate"/>
      </w:r>
    </w:p>
    <w:p w:rsidR="00275E65" w:rsidRDefault="00902217">
      <w:pPr>
        <w:tabs>
          <w:tab w:val="left" w:pos="709"/>
          <w:tab w:val="left" w:pos="1418"/>
        </w:tabs>
        <w:spacing w:after="0"/>
        <w:ind w:firstLine="567"/>
        <w:rPr>
          <w:rFonts w:eastAsia="Times New Roman" w:cstheme="minorHAnsi"/>
          <w:sz w:val="24"/>
          <w:szCs w:val="24"/>
          <w:lang w:val="ru-RU"/>
        </w:rPr>
      </w:pPr>
      <w:r>
        <w:rPr>
          <w:rFonts w:eastAsiaTheme="minorEastAsia" w:cstheme="minorHAnsi"/>
          <w:sz w:val="24"/>
          <w:szCs w:val="24"/>
        </w:rPr>
        <w:fldChar w:fldCharType="end"/>
      </w:r>
    </w:p>
    <w:tbl>
      <w:tblPr>
        <w:tblW w:w="9552" w:type="dxa"/>
        <w:tblLook w:val="04A0" w:firstRow="1" w:lastRow="0" w:firstColumn="1" w:lastColumn="0" w:noHBand="0" w:noVBand="1"/>
      </w:tblPr>
      <w:tblGrid>
        <w:gridCol w:w="1833"/>
        <w:gridCol w:w="1559"/>
        <w:gridCol w:w="2020"/>
        <w:gridCol w:w="1120"/>
        <w:gridCol w:w="1760"/>
        <w:gridCol w:w="1260"/>
      </w:tblGrid>
      <w:tr w:rsidR="00275E65">
        <w:trPr>
          <w:trHeight w:val="288"/>
        </w:trPr>
        <w:tc>
          <w:tcPr>
            <w:tcW w:w="1833" w:type="dxa"/>
            <w:vMerge w:val="restart"/>
            <w:tcBorders>
              <w:top w:val="single" w:sz="8" w:space="0" w:color="000000"/>
              <w:left w:val="single" w:sz="8"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Назва сектора</w:t>
            </w:r>
          </w:p>
        </w:tc>
        <w:tc>
          <w:tcPr>
            <w:tcW w:w="1559" w:type="dxa"/>
            <w:vMerge w:val="restart"/>
            <w:tcBorders>
              <w:top w:val="single" w:sz="8" w:space="0" w:color="000000"/>
              <w:left w:val="none" w:sz="4"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Базове споживання енергії</w:t>
            </w:r>
          </w:p>
        </w:tc>
        <w:tc>
          <w:tcPr>
            <w:tcW w:w="6160" w:type="dxa"/>
            <w:gridSpan w:val="4"/>
            <w:tcBorders>
              <w:top w:val="single" w:sz="8"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Цілі сталого енергетичного розвитку</w:t>
            </w:r>
          </w:p>
        </w:tc>
      </w:tr>
      <w:tr w:rsidR="00275E65">
        <w:trPr>
          <w:trHeight w:val="288"/>
        </w:trPr>
        <w:tc>
          <w:tcPr>
            <w:tcW w:w="1833"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rPr>
                <w:rFonts w:ascii="Times New Roman" w:eastAsia="Times New Roman" w:hAnsi="Times New Roman" w:cs="Times New Roman"/>
                <w:color w:val="000000"/>
              </w:rPr>
            </w:pPr>
          </w:p>
        </w:tc>
        <w:tc>
          <w:tcPr>
            <w:tcW w:w="1559" w:type="dxa"/>
            <w:vMerge/>
            <w:tcBorders>
              <w:left w:val="none" w:sz="4" w:space="0" w:color="000000"/>
              <w:right w:val="single" w:sz="8" w:space="0" w:color="000000"/>
            </w:tcBorders>
            <w:shd w:val="clear" w:color="000000" w:fill="E7E6E6"/>
            <w:vAlign w:val="center"/>
          </w:tcPr>
          <w:p w:rsidR="00275E65" w:rsidRDefault="00275E65">
            <w:pPr>
              <w:spacing w:after="0" w:line="240" w:lineRule="auto"/>
              <w:jc w:val="center"/>
              <w:rPr>
                <w:rFonts w:ascii="Times New Roman" w:eastAsia="Times New Roman" w:hAnsi="Times New Roman" w:cs="Times New Roman"/>
                <w:color w:val="000000"/>
              </w:rPr>
            </w:pPr>
          </w:p>
        </w:tc>
        <w:tc>
          <w:tcPr>
            <w:tcW w:w="6160" w:type="dxa"/>
            <w:gridSpan w:val="4"/>
            <w:tcBorders>
              <w:top w:val="single" w:sz="8"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2030</w:t>
            </w:r>
          </w:p>
        </w:tc>
      </w:tr>
      <w:tr w:rsidR="00275E65">
        <w:trPr>
          <w:trHeight w:val="564"/>
        </w:trPr>
        <w:tc>
          <w:tcPr>
            <w:tcW w:w="1833"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rPr>
                <w:rFonts w:ascii="Times New Roman" w:eastAsia="Times New Roman" w:hAnsi="Times New Roman" w:cs="Times New Roman"/>
                <w:color w:val="000000"/>
              </w:rPr>
            </w:pPr>
          </w:p>
        </w:tc>
        <w:tc>
          <w:tcPr>
            <w:tcW w:w="1559" w:type="dxa"/>
            <w:vMerge/>
            <w:tcBorders>
              <w:left w:val="none" w:sz="4" w:space="0" w:color="000000"/>
              <w:bottom w:val="single" w:sz="8" w:space="0" w:color="000000"/>
              <w:right w:val="single" w:sz="8" w:space="0" w:color="000000"/>
            </w:tcBorders>
            <w:shd w:val="clear" w:color="000000" w:fill="E7E6E6"/>
            <w:vAlign w:val="center"/>
          </w:tcPr>
          <w:p w:rsidR="00275E65" w:rsidRDefault="00275E65">
            <w:pPr>
              <w:spacing w:after="0" w:line="240" w:lineRule="auto"/>
              <w:jc w:val="center"/>
              <w:rPr>
                <w:rFonts w:ascii="Times New Roman" w:eastAsia="Times New Roman" w:hAnsi="Times New Roman" w:cs="Times New Roman"/>
                <w:color w:val="000000"/>
              </w:rPr>
            </w:pPr>
          </w:p>
        </w:tc>
        <w:tc>
          <w:tcPr>
            <w:tcW w:w="3140" w:type="dxa"/>
            <w:gridSpan w:val="2"/>
            <w:tcBorders>
              <w:top w:val="single" w:sz="8"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Підвищення енергоефективності</w:t>
            </w:r>
          </w:p>
        </w:tc>
        <w:tc>
          <w:tcPr>
            <w:tcW w:w="3020" w:type="dxa"/>
            <w:gridSpan w:val="2"/>
            <w:tcBorders>
              <w:top w:val="single" w:sz="8"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Розвиток ВДЕ</w:t>
            </w:r>
          </w:p>
        </w:tc>
      </w:tr>
      <w:tr w:rsidR="00275E65">
        <w:trPr>
          <w:trHeight w:val="288"/>
        </w:trPr>
        <w:tc>
          <w:tcPr>
            <w:tcW w:w="1833"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rPr>
                <w:rFonts w:ascii="Times New Roman" w:eastAsia="Times New Roman" w:hAnsi="Times New Roman" w:cs="Times New Roman"/>
                <w:color w:val="000000"/>
              </w:rPr>
            </w:pPr>
          </w:p>
        </w:tc>
        <w:tc>
          <w:tcPr>
            <w:tcW w:w="1559" w:type="dxa"/>
            <w:tcBorders>
              <w:top w:val="none" w:sz="4"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2020" w:type="dxa"/>
            <w:tcBorders>
              <w:top w:val="none" w:sz="4"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12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60" w:type="dxa"/>
            <w:tcBorders>
              <w:top w:val="none" w:sz="4" w:space="0" w:color="000000"/>
              <w:left w:val="none" w:sz="4" w:space="0" w:color="000000"/>
              <w:bottom w:val="single" w:sz="8" w:space="0" w:color="000000"/>
              <w:right w:val="single" w:sz="8" w:space="0" w:color="000000"/>
            </w:tcBorders>
            <w:shd w:val="clear" w:color="000000" w:fill="E7E6E6"/>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26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Обов'язкові сектори</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Громадські будівлі</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13 648,52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6 648,83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48,7</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190,00  </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Сфера теплопостачання</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177,00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0,00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13 250,00  </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7485,9</w:t>
            </w:r>
          </w:p>
        </w:tc>
      </w:tr>
      <w:tr w:rsidR="00275E65">
        <w:trPr>
          <w:trHeight w:val="564"/>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Сфера водопостачання і водовідведення</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256,41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31,32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12,2</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149,00  </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58,1</w:t>
            </w:r>
          </w:p>
        </w:tc>
      </w:tr>
      <w:tr w:rsidR="00275E65">
        <w:trPr>
          <w:trHeight w:val="564"/>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Сфера управління побутовими відходами</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95,92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0,00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0,00  </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Зовнішнє освітлення</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192,80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29,88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0,00  </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Громадський транспорт</w:t>
            </w:r>
          </w:p>
        </w:tc>
        <w:tc>
          <w:tcPr>
            <w:tcW w:w="1559"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2 067,00  </w:t>
            </w:r>
          </w:p>
        </w:tc>
        <w:tc>
          <w:tcPr>
            <w:tcW w:w="20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0,00  </w:t>
            </w:r>
          </w:p>
        </w:tc>
        <w:tc>
          <w:tcPr>
            <w:tcW w:w="11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7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0,00  </w:t>
            </w:r>
          </w:p>
        </w:tc>
        <w:tc>
          <w:tcPr>
            <w:tcW w:w="12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r>
      <w:tr w:rsidR="00275E65">
        <w:trPr>
          <w:trHeight w:val="288"/>
        </w:trPr>
        <w:tc>
          <w:tcPr>
            <w:tcW w:w="1833" w:type="dxa"/>
            <w:tcBorders>
              <w:top w:val="none" w:sz="4" w:space="0" w:color="000000"/>
              <w:left w:val="single" w:sz="8"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ЗАГАЛОМ</w:t>
            </w:r>
          </w:p>
        </w:tc>
        <w:tc>
          <w:tcPr>
            <w:tcW w:w="1559"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16 437,66  </w:t>
            </w:r>
          </w:p>
        </w:tc>
        <w:tc>
          <w:tcPr>
            <w:tcW w:w="202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6 710,03  </w:t>
            </w:r>
          </w:p>
        </w:tc>
        <w:tc>
          <w:tcPr>
            <w:tcW w:w="112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FF0000"/>
              </w:rPr>
            </w:pPr>
            <w:r>
              <w:rPr>
                <w:rFonts w:ascii="Times New Roman" w:eastAsia="Times New Roman" w:hAnsi="Times New Roman" w:cs="Times New Roman"/>
                <w:b/>
                <w:bCs/>
                <w:color w:val="FF0000"/>
              </w:rPr>
              <w:t>40,8</w:t>
            </w:r>
          </w:p>
        </w:tc>
        <w:tc>
          <w:tcPr>
            <w:tcW w:w="176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13 589,00  </w:t>
            </w:r>
          </w:p>
        </w:tc>
        <w:tc>
          <w:tcPr>
            <w:tcW w:w="1260" w:type="dxa"/>
            <w:tcBorders>
              <w:top w:val="none" w:sz="4" w:space="0" w:color="000000"/>
              <w:left w:val="none" w:sz="4" w:space="0" w:color="000000"/>
              <w:bottom w:val="single" w:sz="8" w:space="0" w:color="000000"/>
              <w:right w:val="single" w:sz="8" w:space="0" w:color="000000"/>
            </w:tcBorders>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FF0000"/>
              </w:rPr>
            </w:pPr>
            <w:r>
              <w:rPr>
                <w:rFonts w:ascii="Times New Roman" w:eastAsia="Times New Roman" w:hAnsi="Times New Roman" w:cs="Times New Roman"/>
                <w:b/>
                <w:bCs/>
                <w:color w:val="FF0000"/>
              </w:rPr>
              <w:t>82,7</w:t>
            </w:r>
          </w:p>
        </w:tc>
      </w:tr>
    </w:tbl>
    <w:p w:rsidR="00275E65" w:rsidRDefault="00275E65">
      <w:pPr>
        <w:tabs>
          <w:tab w:val="left" w:pos="709"/>
          <w:tab w:val="left" w:pos="1418"/>
        </w:tabs>
        <w:spacing w:after="0"/>
        <w:ind w:firstLine="567"/>
        <w:rPr>
          <w:rFonts w:eastAsia="Times New Roman" w:cstheme="minorHAnsi"/>
          <w:sz w:val="24"/>
          <w:szCs w:val="24"/>
        </w:rPr>
      </w:pPr>
    </w:p>
    <w:p w:rsidR="00275E65" w:rsidRDefault="00902217">
      <w:pPr>
        <w:tabs>
          <w:tab w:val="left" w:pos="709"/>
        </w:tabs>
        <w:ind w:firstLine="567"/>
        <w:jc w:val="both"/>
        <w:rPr>
          <w:rFonts w:ascii="Times New Roman" w:eastAsia="Times New Roman" w:hAnsi="Times New Roman" w:cs="Times New Roman"/>
        </w:rPr>
      </w:pPr>
      <w:r>
        <w:rPr>
          <w:rFonts w:ascii="Times New Roman" w:eastAsiaTheme="minorEastAsia" w:hAnsi="Times New Roman" w:cstheme="minorHAnsi"/>
        </w:rPr>
        <w:t xml:space="preserve">В цьому випадку цілями громади є зменшення споживання енергетичних ресурсів щонайменше на </w:t>
      </w:r>
      <w:r>
        <w:rPr>
          <w:rFonts w:ascii="Times New Roman" w:eastAsiaTheme="minorEastAsia" w:hAnsi="Times New Roman" w:cstheme="minorHAnsi"/>
          <w:b/>
          <w:bCs/>
          <w:lang w:val="uk-UA"/>
        </w:rPr>
        <w:t>40,8</w:t>
      </w:r>
      <w:r>
        <w:rPr>
          <w:rFonts w:ascii="Times New Roman" w:eastAsiaTheme="minorEastAsia" w:hAnsi="Times New Roman" w:cstheme="minorHAnsi"/>
        </w:rPr>
        <w:t xml:space="preserve"> %  та підвищення використання частки відновлюваних джерел енергії на  </w:t>
      </w:r>
      <w:r>
        <w:rPr>
          <w:rFonts w:ascii="Times New Roman" w:eastAsiaTheme="minorEastAsia" w:hAnsi="Times New Roman" w:cstheme="minorHAnsi"/>
          <w:b/>
          <w:bCs/>
          <w:lang w:val="uk-UA"/>
        </w:rPr>
        <w:t xml:space="preserve">82,7 </w:t>
      </w:r>
      <w:r>
        <w:rPr>
          <w:rFonts w:ascii="Times New Roman" w:eastAsiaTheme="minorEastAsia" w:hAnsi="Times New Roman" w:cstheme="minorHAnsi"/>
        </w:rPr>
        <w:t>% відносно базового рівня споживання енергетичних ресурсів, в секторах, за які повніст</w:t>
      </w:r>
      <w:r>
        <w:rPr>
          <w:rFonts w:ascii="Times New Roman" w:eastAsiaTheme="minorEastAsia" w:hAnsi="Times New Roman" w:cstheme="minorHAnsi"/>
        </w:rPr>
        <w:t>ю відповідає громада.</w:t>
      </w:r>
    </w:p>
    <w:p w:rsidR="00275E65" w:rsidRDefault="00275E65">
      <w:pPr>
        <w:tabs>
          <w:tab w:val="left" w:pos="709"/>
          <w:tab w:val="left" w:pos="1418"/>
        </w:tabs>
        <w:spacing w:after="0"/>
        <w:ind w:firstLine="567"/>
        <w:rPr>
          <w:rFonts w:eastAsia="Times New Roman" w:cstheme="minorHAnsi"/>
          <w:sz w:val="24"/>
          <w:szCs w:val="24"/>
        </w:rPr>
      </w:pPr>
    </w:p>
    <w:p w:rsidR="00275E65" w:rsidRDefault="00275E65">
      <w:pPr>
        <w:tabs>
          <w:tab w:val="left" w:pos="709"/>
          <w:tab w:val="left" w:pos="1418"/>
        </w:tabs>
        <w:spacing w:after="0"/>
        <w:ind w:firstLine="567"/>
        <w:rPr>
          <w:rFonts w:eastAsia="Times New Roman" w:cstheme="minorHAnsi"/>
          <w:sz w:val="24"/>
          <w:szCs w:val="24"/>
        </w:rPr>
      </w:pPr>
    </w:p>
    <w:p w:rsidR="00275E65" w:rsidRDefault="00902217">
      <w:pPr>
        <w:tabs>
          <w:tab w:val="left" w:pos="709"/>
          <w:tab w:val="left" w:pos="851"/>
          <w:tab w:val="left" w:pos="1418"/>
        </w:tabs>
        <w:spacing w:after="0"/>
        <w:ind w:firstLine="567"/>
        <w:jc w:val="both"/>
        <w:rPr>
          <w:rFonts w:ascii="Times New Roman" w:eastAsia="Times New Roman" w:hAnsi="Times New Roman" w:cs="Times New Roman"/>
        </w:rPr>
      </w:pPr>
      <w:r>
        <w:rPr>
          <w:rFonts w:ascii="Times New Roman" w:eastAsiaTheme="minorEastAsia" w:hAnsi="Times New Roman" w:cstheme="minorHAnsi"/>
        </w:rPr>
        <w:t>З метою здійснення моніторингу досягнення цілей сталого енергетичного розвитку територіальної громади та оцінки результативності виконання муніципального енергетичного плану, встановлені щорічні індикативні показники досягнення ціле</w:t>
      </w:r>
      <w:r>
        <w:rPr>
          <w:rFonts w:ascii="Times New Roman" w:eastAsiaTheme="minorEastAsia" w:hAnsi="Times New Roman" w:cstheme="minorHAnsi"/>
        </w:rPr>
        <w:t xml:space="preserve">й на період муніципального енергетичного плану. </w:t>
      </w:r>
    </w:p>
    <w:p w:rsidR="00275E65" w:rsidRDefault="00902217">
      <w:pPr>
        <w:tabs>
          <w:tab w:val="left" w:pos="709"/>
        </w:tabs>
        <w:ind w:firstLine="567"/>
        <w:rPr>
          <w:rFonts w:eastAsia="Times New Roman" w:cstheme="minorHAnsi"/>
          <w:sz w:val="24"/>
          <w:szCs w:val="24"/>
        </w:rPr>
        <w:sectPr w:rsidR="00275E65">
          <w:headerReference w:type="default" r:id="rId72"/>
          <w:footerReference w:type="default" r:id="rId73"/>
          <w:pgSz w:w="11906" w:h="16838"/>
          <w:pgMar w:top="1134" w:right="850" w:bottom="1134" w:left="1701" w:header="708" w:footer="708" w:gutter="0"/>
          <w:cols w:space="708"/>
          <w:titlePg/>
          <w:docGrid w:linePitch="360"/>
        </w:sectPr>
      </w:pPr>
      <w:r>
        <w:rPr>
          <w:rFonts w:eastAsiaTheme="minorEastAsia" w:cstheme="minorHAnsi"/>
          <w:sz w:val="24"/>
          <w:szCs w:val="24"/>
        </w:rPr>
        <w:br w:type="page"/>
      </w:r>
    </w:p>
    <w:p w:rsidR="00275E65" w:rsidRDefault="00902217">
      <w:pPr>
        <w:tabs>
          <w:tab w:val="left" w:pos="709"/>
        </w:tabs>
        <w:ind w:firstLine="567"/>
        <w:rPr>
          <w:rFonts w:ascii="Times New Roman" w:eastAsia="Times New Roman" w:hAnsi="Times New Roman" w:cs="Times New Roman"/>
          <w:lang w:val="ru-RU"/>
        </w:rPr>
      </w:pPr>
      <w:r>
        <w:rPr>
          <w:rFonts w:ascii="Times New Roman" w:eastAsiaTheme="minorEastAsia" w:hAnsi="Times New Roman" w:cstheme="minorHAnsi"/>
          <w:lang w:val="ru-RU"/>
        </w:rPr>
        <w:t>Таблиця 2.2. Щорічні індикативні показники підвищення енергоефективності</w:t>
      </w:r>
    </w:p>
    <w:tbl>
      <w:tblPr>
        <w:tblW w:w="14994" w:type="dxa"/>
        <w:tblLook w:val="04A0" w:firstRow="1" w:lastRow="0" w:firstColumn="1" w:lastColumn="0" w:noHBand="0" w:noVBand="1"/>
      </w:tblPr>
      <w:tblGrid>
        <w:gridCol w:w="2400"/>
        <w:gridCol w:w="1565"/>
        <w:gridCol w:w="1412"/>
        <w:gridCol w:w="1417"/>
        <w:gridCol w:w="1640"/>
        <w:gridCol w:w="1640"/>
        <w:gridCol w:w="1640"/>
        <w:gridCol w:w="1640"/>
        <w:gridCol w:w="1640"/>
      </w:tblGrid>
      <w:tr w:rsidR="00275E65">
        <w:trPr>
          <w:trHeight w:val="300"/>
        </w:trPr>
        <w:tc>
          <w:tcPr>
            <w:tcW w:w="2400"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Назва сектора</w:t>
            </w:r>
          </w:p>
        </w:tc>
        <w:tc>
          <w:tcPr>
            <w:tcW w:w="1565"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Одиниці вимірювання</w:t>
            </w:r>
          </w:p>
        </w:tc>
        <w:tc>
          <w:tcPr>
            <w:tcW w:w="1412"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2024</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2025</w:t>
            </w:r>
          </w:p>
        </w:tc>
        <w:tc>
          <w:tcPr>
            <w:tcW w:w="164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2026</w:t>
            </w:r>
          </w:p>
        </w:tc>
        <w:tc>
          <w:tcPr>
            <w:tcW w:w="164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2027</w:t>
            </w:r>
          </w:p>
        </w:tc>
        <w:tc>
          <w:tcPr>
            <w:tcW w:w="164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2028</w:t>
            </w:r>
          </w:p>
        </w:tc>
        <w:tc>
          <w:tcPr>
            <w:tcW w:w="164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2029</w:t>
            </w:r>
          </w:p>
        </w:tc>
        <w:tc>
          <w:tcPr>
            <w:tcW w:w="164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2030</w:t>
            </w:r>
          </w:p>
        </w:tc>
      </w:tr>
      <w:tr w:rsidR="00275E65">
        <w:trPr>
          <w:trHeight w:val="300"/>
        </w:trPr>
        <w:tc>
          <w:tcPr>
            <w:tcW w:w="2400"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Обов'язкові сектори</w:t>
            </w:r>
          </w:p>
        </w:tc>
        <w:tc>
          <w:tcPr>
            <w:tcW w:w="1565"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412"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417"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64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64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64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64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64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r>
      <w:tr w:rsidR="00275E65">
        <w:trPr>
          <w:trHeight w:val="300"/>
        </w:trPr>
        <w:tc>
          <w:tcPr>
            <w:tcW w:w="2400"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Громадські будівлі</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0,78</w:t>
            </w:r>
          </w:p>
        </w:tc>
        <w:tc>
          <w:tcPr>
            <w:tcW w:w="1417"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901,79</w:t>
            </w:r>
          </w:p>
        </w:tc>
        <w:tc>
          <w:tcPr>
            <w:tcW w:w="1640"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2 747,06</w:t>
            </w:r>
          </w:p>
        </w:tc>
        <w:tc>
          <w:tcPr>
            <w:tcW w:w="1640"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3 674,63</w:t>
            </w:r>
          </w:p>
        </w:tc>
        <w:tc>
          <w:tcPr>
            <w:tcW w:w="1640"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5 708,92</w:t>
            </w:r>
          </w:p>
        </w:tc>
        <w:tc>
          <w:tcPr>
            <w:tcW w:w="1640"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6 039,73</w:t>
            </w:r>
          </w:p>
        </w:tc>
        <w:tc>
          <w:tcPr>
            <w:tcW w:w="1640"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6 648,83</w:t>
            </w:r>
          </w:p>
        </w:tc>
      </w:tr>
      <w:tr w:rsidR="00275E65">
        <w:trPr>
          <w:trHeight w:val="300"/>
        </w:trPr>
        <w:tc>
          <w:tcPr>
            <w:tcW w:w="2400"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6,61</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20,13</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26,92</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41,83</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44,25</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48,71</w:t>
            </w:r>
          </w:p>
        </w:tc>
      </w:tr>
      <w:tr w:rsidR="00275E65">
        <w:trPr>
          <w:trHeight w:val="300"/>
        </w:trPr>
        <w:tc>
          <w:tcPr>
            <w:tcW w:w="2400"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Житлові будівлі</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7 031,20</w:t>
            </w:r>
          </w:p>
        </w:tc>
      </w:tr>
      <w:tr w:rsidR="00275E65">
        <w:trPr>
          <w:trHeight w:val="300"/>
        </w:trPr>
        <w:tc>
          <w:tcPr>
            <w:tcW w:w="2400"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3,89</w:t>
            </w:r>
          </w:p>
        </w:tc>
      </w:tr>
      <w:tr w:rsidR="00275E65">
        <w:trPr>
          <w:trHeight w:val="300"/>
        </w:trPr>
        <w:tc>
          <w:tcPr>
            <w:tcW w:w="2400"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Сфера теплопостачання</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trPr>
        <w:tc>
          <w:tcPr>
            <w:tcW w:w="2400"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trPr>
        <w:tc>
          <w:tcPr>
            <w:tcW w:w="2400"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Сфера водопостачання і водовідведення</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0,51</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0,51</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20,02</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20,02</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21,22</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29,88</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31,32</w:t>
            </w:r>
          </w:p>
        </w:tc>
      </w:tr>
      <w:tr w:rsidR="00275E65">
        <w:trPr>
          <w:trHeight w:val="300"/>
        </w:trPr>
        <w:tc>
          <w:tcPr>
            <w:tcW w:w="2400"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7,50</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7,58</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8,11</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11,54</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12,21</w:t>
            </w:r>
          </w:p>
        </w:tc>
      </w:tr>
      <w:tr w:rsidR="00275E65">
        <w:trPr>
          <w:trHeight w:val="300"/>
        </w:trPr>
        <w:tc>
          <w:tcPr>
            <w:tcW w:w="2400"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Сфера управління побутовими відходами</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trPr>
        <w:tc>
          <w:tcPr>
            <w:tcW w:w="2400"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trPr>
        <w:tc>
          <w:tcPr>
            <w:tcW w:w="2400"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Зовнішнє освітлення</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7,88</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14,89</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18,40</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29,88</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29,88</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29,88</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29,88</w:t>
            </w:r>
          </w:p>
        </w:tc>
      </w:tr>
      <w:tr w:rsidR="00275E65">
        <w:trPr>
          <w:trHeight w:val="300"/>
        </w:trPr>
        <w:tc>
          <w:tcPr>
            <w:tcW w:w="2400"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4,09</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7,72</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9,54</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15,50</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15,50</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15,50</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15,50</w:t>
            </w:r>
          </w:p>
        </w:tc>
      </w:tr>
      <w:tr w:rsidR="00275E65">
        <w:trPr>
          <w:trHeight w:val="300"/>
        </w:trPr>
        <w:tc>
          <w:tcPr>
            <w:tcW w:w="2400" w:type="dxa"/>
            <w:vMerge w:val="restart"/>
            <w:tcBorders>
              <w:top w:val="none" w:sz="4"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Громадський транспорт</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trPr>
        <w:tc>
          <w:tcPr>
            <w:tcW w:w="2400"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trPr>
        <w:tc>
          <w:tcPr>
            <w:tcW w:w="2400" w:type="dxa"/>
            <w:vMerge w:val="restart"/>
            <w:tcBorders>
              <w:top w:val="none" w:sz="4"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ЗАГАЛОМ</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МВт</w:t>
            </w:r>
            <w:r>
              <w:rPr>
                <w:rFonts w:ascii="Cambria Math" w:eastAsia="Times New Roman" w:hAnsi="Cambria Math" w:cs="Cambria Math"/>
                <w:b/>
                <w:bCs/>
                <w:color w:val="000000"/>
              </w:rPr>
              <w:t>⋅</w:t>
            </w:r>
            <w:r>
              <w:rPr>
                <w:rFonts w:ascii="Times New Roman" w:eastAsia="Times New Roman" w:hAnsi="Times New Roman" w:cs="Times New Roman"/>
                <w:b/>
                <w:bCs/>
                <w:color w:val="000000"/>
              </w:rPr>
              <w:t>год/рік</w:t>
            </w:r>
          </w:p>
        </w:tc>
        <w:tc>
          <w:tcPr>
            <w:tcW w:w="1412"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9,17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917,19</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2 785,47</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3 724,53</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5 760,02</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6 099,48</w:t>
            </w:r>
          </w:p>
        </w:tc>
        <w:tc>
          <w:tcPr>
            <w:tcW w:w="16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13 741,23</w:t>
            </w:r>
          </w:p>
        </w:tc>
      </w:tr>
      <w:tr w:rsidR="00275E65">
        <w:trPr>
          <w:trHeight w:val="300"/>
        </w:trPr>
        <w:tc>
          <w:tcPr>
            <w:tcW w:w="2400"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p>
        </w:tc>
        <w:tc>
          <w:tcPr>
            <w:tcW w:w="1412"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w:t>
            </w:r>
          </w:p>
        </w:tc>
        <w:tc>
          <w:tcPr>
            <w:tcW w:w="1417"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0,4</w:t>
            </w:r>
          </w:p>
        </w:tc>
        <w:tc>
          <w:tcPr>
            <w:tcW w:w="164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1,4</w:t>
            </w:r>
          </w:p>
        </w:tc>
        <w:tc>
          <w:tcPr>
            <w:tcW w:w="164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1,8</w:t>
            </w:r>
          </w:p>
        </w:tc>
        <w:tc>
          <w:tcPr>
            <w:tcW w:w="164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2,9</w:t>
            </w:r>
          </w:p>
        </w:tc>
        <w:tc>
          <w:tcPr>
            <w:tcW w:w="164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3,1</w:t>
            </w:r>
          </w:p>
        </w:tc>
        <w:tc>
          <w:tcPr>
            <w:tcW w:w="164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7,0</w:t>
            </w:r>
          </w:p>
        </w:tc>
      </w:tr>
    </w:tbl>
    <w:p w:rsidR="00275E65" w:rsidRDefault="00275E65">
      <w:pPr>
        <w:tabs>
          <w:tab w:val="left" w:pos="709"/>
        </w:tabs>
        <w:ind w:firstLine="567"/>
        <w:rPr>
          <w:rFonts w:eastAsia="Times New Roman" w:cstheme="minorHAnsi"/>
          <w:sz w:val="24"/>
          <w:szCs w:val="24"/>
        </w:rPr>
        <w:sectPr w:rsidR="00275E65">
          <w:pgSz w:w="16838" w:h="11906" w:orient="landscape"/>
          <w:pgMar w:top="851" w:right="1134" w:bottom="1701" w:left="1134" w:header="709" w:footer="709" w:gutter="0"/>
          <w:cols w:space="708"/>
          <w:docGrid w:linePitch="360"/>
        </w:sectPr>
      </w:pPr>
    </w:p>
    <w:p w:rsidR="00275E65" w:rsidRDefault="00902217">
      <w:pPr>
        <w:tabs>
          <w:tab w:val="left" w:pos="709"/>
        </w:tabs>
        <w:ind w:firstLine="567"/>
        <w:rPr>
          <w:rFonts w:ascii="Times New Roman" w:eastAsia="Times New Roman" w:hAnsi="Times New Roman" w:cs="Times New Roman"/>
        </w:rPr>
      </w:pPr>
      <w:r>
        <w:rPr>
          <w:rFonts w:ascii="Times New Roman" w:eastAsiaTheme="minorEastAsia" w:hAnsi="Times New Roman" w:cstheme="minorHAnsi"/>
        </w:rPr>
        <w:t>Таблиця 2.3. Щорічні індикативні показники підвищення частки відновлюваних джерел енергії</w:t>
      </w:r>
    </w:p>
    <w:p w:rsidR="00275E65" w:rsidRDefault="00275E65">
      <w:pPr>
        <w:tabs>
          <w:tab w:val="left" w:pos="709"/>
        </w:tabs>
        <w:ind w:firstLine="567"/>
        <w:rPr>
          <w:rFonts w:eastAsia="Times New Roman" w:cstheme="minorHAnsi"/>
          <w:sz w:val="24"/>
          <w:szCs w:val="24"/>
        </w:rPr>
      </w:pPr>
    </w:p>
    <w:tbl>
      <w:tblPr>
        <w:tblW w:w="15167" w:type="dxa"/>
        <w:jc w:val="center"/>
        <w:tblLook w:val="04A0" w:firstRow="1" w:lastRow="0" w:firstColumn="1" w:lastColumn="0" w:noHBand="0" w:noVBand="1"/>
      </w:tblPr>
      <w:tblGrid>
        <w:gridCol w:w="2542"/>
        <w:gridCol w:w="1565"/>
        <w:gridCol w:w="1420"/>
        <w:gridCol w:w="1560"/>
        <w:gridCol w:w="1700"/>
        <w:gridCol w:w="1560"/>
        <w:gridCol w:w="1700"/>
        <w:gridCol w:w="1560"/>
        <w:gridCol w:w="1560"/>
      </w:tblGrid>
      <w:tr w:rsidR="00275E65">
        <w:trPr>
          <w:trHeight w:val="300"/>
          <w:jc w:val="center"/>
        </w:trPr>
        <w:tc>
          <w:tcPr>
            <w:tcW w:w="254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Назва сектора</w:t>
            </w:r>
          </w:p>
        </w:tc>
        <w:tc>
          <w:tcPr>
            <w:tcW w:w="1565"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Одиниці вимірювання</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2024</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2025</w:t>
            </w:r>
          </w:p>
        </w:tc>
        <w:tc>
          <w:tcPr>
            <w:tcW w:w="170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2026</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2027</w:t>
            </w:r>
          </w:p>
        </w:tc>
        <w:tc>
          <w:tcPr>
            <w:tcW w:w="170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2028</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2029</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2030</w:t>
            </w:r>
          </w:p>
        </w:tc>
      </w:tr>
      <w:tr w:rsidR="00275E65">
        <w:trPr>
          <w:trHeight w:val="300"/>
          <w:jc w:val="center"/>
        </w:trPr>
        <w:tc>
          <w:tcPr>
            <w:tcW w:w="2542" w:type="dxa"/>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Обов'язкові сектори</w:t>
            </w:r>
          </w:p>
        </w:tc>
        <w:tc>
          <w:tcPr>
            <w:tcW w:w="1565"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42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56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70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56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70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56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560" w:type="dxa"/>
            <w:vMerge/>
            <w:tcBorders>
              <w:top w:val="single" w:sz="8"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r>
      <w:tr w:rsidR="00275E65">
        <w:trPr>
          <w:trHeight w:val="300"/>
          <w:jc w:val="center"/>
        </w:trPr>
        <w:tc>
          <w:tcPr>
            <w:tcW w:w="2542"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Громадські будівлі</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5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120,00</w:t>
            </w:r>
          </w:p>
        </w:tc>
        <w:tc>
          <w:tcPr>
            <w:tcW w:w="17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140,00</w:t>
            </w:r>
          </w:p>
        </w:tc>
        <w:tc>
          <w:tcPr>
            <w:tcW w:w="15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160,00</w:t>
            </w:r>
          </w:p>
        </w:tc>
        <w:tc>
          <w:tcPr>
            <w:tcW w:w="17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190,00</w:t>
            </w:r>
          </w:p>
        </w:tc>
        <w:tc>
          <w:tcPr>
            <w:tcW w:w="15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190,00</w:t>
            </w:r>
          </w:p>
        </w:tc>
        <w:tc>
          <w:tcPr>
            <w:tcW w:w="15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190,00</w:t>
            </w:r>
          </w:p>
        </w:tc>
      </w:tr>
      <w:tr w:rsidR="00275E65">
        <w:trPr>
          <w:trHeight w:val="300"/>
          <w:jc w:val="center"/>
        </w:trPr>
        <w:tc>
          <w:tcPr>
            <w:tcW w:w="2542"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0,73</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0,88</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1,03</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w:t>
            </w:r>
          </w:p>
        </w:tc>
      </w:tr>
      <w:tr w:rsidR="00275E65">
        <w:trPr>
          <w:trHeight w:val="300"/>
          <w:jc w:val="center"/>
        </w:trPr>
        <w:tc>
          <w:tcPr>
            <w:tcW w:w="2542"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Житлові будівлі</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2 200,00</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7 531,00</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7 531,00</w:t>
            </w:r>
          </w:p>
        </w:tc>
      </w:tr>
      <w:tr w:rsidR="00275E65">
        <w:trPr>
          <w:trHeight w:val="300"/>
          <w:jc w:val="center"/>
        </w:trPr>
        <w:tc>
          <w:tcPr>
            <w:tcW w:w="2542"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1,19</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4,13</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4,17</w:t>
            </w:r>
          </w:p>
        </w:tc>
      </w:tr>
      <w:tr w:rsidR="00275E65">
        <w:trPr>
          <w:trHeight w:val="300"/>
          <w:jc w:val="center"/>
        </w:trPr>
        <w:tc>
          <w:tcPr>
            <w:tcW w:w="2542"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Сфера теплопостачання</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13 250,00</w:t>
            </w:r>
          </w:p>
        </w:tc>
      </w:tr>
      <w:tr w:rsidR="00275E65">
        <w:trPr>
          <w:trHeight w:val="300"/>
          <w:jc w:val="center"/>
        </w:trPr>
        <w:tc>
          <w:tcPr>
            <w:tcW w:w="2542"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7 485,88</w:t>
            </w:r>
          </w:p>
        </w:tc>
      </w:tr>
      <w:tr w:rsidR="00275E65">
        <w:trPr>
          <w:trHeight w:val="300"/>
          <w:jc w:val="center"/>
        </w:trPr>
        <w:tc>
          <w:tcPr>
            <w:tcW w:w="2542"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Сфера водопостачання і водовідведення</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84,00</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149,00</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149,00</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149,00</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149,00</w:t>
            </w:r>
          </w:p>
        </w:tc>
      </w:tr>
      <w:tr w:rsidR="00275E65">
        <w:trPr>
          <w:trHeight w:val="300"/>
          <w:jc w:val="center"/>
        </w:trPr>
        <w:tc>
          <w:tcPr>
            <w:tcW w:w="2542"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18,36</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31,15</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55,82</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56,38</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56,95</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58,11</w:t>
            </w:r>
          </w:p>
        </w:tc>
      </w:tr>
      <w:tr w:rsidR="00275E65">
        <w:trPr>
          <w:trHeight w:val="300"/>
          <w:jc w:val="center"/>
        </w:trPr>
        <w:tc>
          <w:tcPr>
            <w:tcW w:w="2542"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Сфера управління побутовими відходами</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jc w:val="center"/>
        </w:trPr>
        <w:tc>
          <w:tcPr>
            <w:tcW w:w="2542"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jc w:val="center"/>
        </w:trPr>
        <w:tc>
          <w:tcPr>
            <w:tcW w:w="2542" w:type="dxa"/>
            <w:vMerge w:val="restart"/>
            <w:tcBorders>
              <w:top w:val="none" w:sz="4" w:space="0" w:color="000000"/>
              <w:left w:val="single" w:sz="8"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Зовнішнє освітлення</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jc w:val="center"/>
        </w:trPr>
        <w:tc>
          <w:tcPr>
            <w:tcW w:w="2542"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jc w:val="center"/>
        </w:trPr>
        <w:tc>
          <w:tcPr>
            <w:tcW w:w="2542" w:type="dxa"/>
            <w:vMerge w:val="restart"/>
            <w:tcBorders>
              <w:top w:val="none" w:sz="4"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Громадський транспорт</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jc w:val="center"/>
        </w:trPr>
        <w:tc>
          <w:tcPr>
            <w:tcW w:w="2542"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75E65">
        <w:trPr>
          <w:trHeight w:val="300"/>
          <w:jc w:val="center"/>
        </w:trPr>
        <w:tc>
          <w:tcPr>
            <w:tcW w:w="2542" w:type="dxa"/>
            <w:vMerge w:val="restart"/>
            <w:tcBorders>
              <w:top w:val="none" w:sz="4" w:space="0" w:color="000000"/>
              <w:left w:val="single" w:sz="8"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ЗАГАЛОМ</w:t>
            </w:r>
          </w:p>
        </w:tc>
        <w:tc>
          <w:tcPr>
            <w:tcW w:w="1565" w:type="dxa"/>
            <w:tcBorders>
              <w:top w:val="none" w:sz="4" w:space="0" w:color="000000"/>
              <w:left w:val="none" w:sz="4" w:space="0" w:color="000000"/>
              <w:bottom w:val="single" w:sz="8" w:space="0" w:color="000000"/>
              <w:right w:val="single" w:sz="8" w:space="0" w:color="000000"/>
            </w:tcBorders>
            <w:shd w:val="clear" w:color="000000" w:fill="FFFFFF"/>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МВт</w:t>
            </w:r>
            <w:r>
              <w:rPr>
                <w:rFonts w:ascii="Cambria Math" w:eastAsia="Times New Roman" w:hAnsi="Cambria Math" w:cs="Cambria Math"/>
                <w:color w:val="000000"/>
              </w:rPr>
              <w:t>⋅</w:t>
            </w:r>
            <w:r>
              <w:rPr>
                <w:rFonts w:ascii="Times New Roman" w:eastAsia="Times New Roman" w:hAnsi="Times New Roman" w:cs="Times New Roman"/>
                <w:color w:val="000000"/>
              </w:rPr>
              <w:t>год/рік</w:t>
            </w:r>
          </w:p>
        </w:tc>
        <w:tc>
          <w:tcPr>
            <w:tcW w:w="1420" w:type="dxa"/>
            <w:tcBorders>
              <w:top w:val="none" w:sz="4" w:space="0" w:color="000000"/>
              <w:left w:val="single" w:sz="4" w:space="0" w:color="auto"/>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150,00</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204,00</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289,00</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309,00</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2 539,00</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7 721,00</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21 120,00</w:t>
            </w:r>
          </w:p>
        </w:tc>
      </w:tr>
      <w:tr w:rsidR="00275E65">
        <w:trPr>
          <w:trHeight w:val="300"/>
          <w:jc w:val="center"/>
        </w:trPr>
        <w:tc>
          <w:tcPr>
            <w:tcW w:w="2542" w:type="dxa"/>
            <w:vMerge/>
            <w:tcBorders>
              <w:top w:val="none" w:sz="4" w:space="0" w:color="000000"/>
              <w:left w:val="single" w:sz="8" w:space="0" w:color="000000"/>
              <w:bottom w:val="single" w:sz="8" w:space="0" w:color="000000"/>
              <w:right w:val="single" w:sz="8" w:space="0" w:color="000000"/>
            </w:tcBorders>
            <w:vAlign w:val="center"/>
          </w:tcPr>
          <w:p w:rsidR="00275E65" w:rsidRDefault="00275E65">
            <w:pPr>
              <w:spacing w:after="0" w:line="240" w:lineRule="auto"/>
              <w:jc w:val="center"/>
              <w:rPr>
                <w:rFonts w:ascii="Times New Roman" w:eastAsia="Times New Roman" w:hAnsi="Times New Roman" w:cs="Times New Roman"/>
                <w:b/>
                <w:bCs/>
                <w:color w:val="000000"/>
              </w:rPr>
            </w:pPr>
          </w:p>
        </w:tc>
        <w:tc>
          <w:tcPr>
            <w:tcW w:w="1565"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2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0,1</w:t>
            </w:r>
          </w:p>
        </w:tc>
        <w:tc>
          <w:tcPr>
            <w:tcW w:w="15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0,1</w:t>
            </w:r>
          </w:p>
        </w:tc>
        <w:tc>
          <w:tcPr>
            <w:tcW w:w="170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0,1</w:t>
            </w:r>
          </w:p>
        </w:tc>
        <w:tc>
          <w:tcPr>
            <w:tcW w:w="15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0,2</w:t>
            </w:r>
          </w:p>
        </w:tc>
        <w:tc>
          <w:tcPr>
            <w:tcW w:w="170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1,3</w:t>
            </w:r>
          </w:p>
        </w:tc>
        <w:tc>
          <w:tcPr>
            <w:tcW w:w="15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3,9</w:t>
            </w:r>
          </w:p>
        </w:tc>
        <w:tc>
          <w:tcPr>
            <w:tcW w:w="1560" w:type="dxa"/>
            <w:tcBorders>
              <w:top w:val="none" w:sz="4" w:space="0" w:color="000000"/>
              <w:left w:val="none" w:sz="4" w:space="0" w:color="000000"/>
              <w:bottom w:val="single" w:sz="8" w:space="0" w:color="000000"/>
              <w:right w:val="single" w:sz="8" w:space="0" w:color="000000"/>
            </w:tcBorders>
            <w:shd w:val="clear" w:color="000000" w:fill="FFFFFF"/>
            <w:noWrap/>
            <w:vAlign w:val="center"/>
          </w:tcPr>
          <w:p w:rsidR="00275E65" w:rsidRDefault="0090221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10,7</w:t>
            </w:r>
          </w:p>
        </w:tc>
      </w:tr>
    </w:tbl>
    <w:p w:rsidR="00275E65" w:rsidRDefault="00275E65">
      <w:pPr>
        <w:tabs>
          <w:tab w:val="left" w:pos="709"/>
        </w:tabs>
        <w:rPr>
          <w:rFonts w:eastAsia="Times New Roman" w:cstheme="minorHAnsi"/>
          <w:sz w:val="24"/>
          <w:szCs w:val="24"/>
        </w:rPr>
        <w:sectPr w:rsidR="00275E65">
          <w:pgSz w:w="16838" w:h="11906" w:orient="landscape"/>
          <w:pgMar w:top="851" w:right="1134" w:bottom="1701" w:left="1134" w:header="709" w:footer="709" w:gutter="0"/>
          <w:cols w:space="708"/>
          <w:docGrid w:linePitch="360"/>
        </w:sectPr>
      </w:pPr>
    </w:p>
    <w:p w:rsidR="00275E65" w:rsidRDefault="00902217">
      <w:pPr>
        <w:pStyle w:val="ArHead1"/>
        <w:tabs>
          <w:tab w:val="left" w:pos="709"/>
        </w:tabs>
        <w:spacing w:after="0" w:line="276" w:lineRule="auto"/>
        <w:ind w:left="0" w:firstLine="567"/>
        <w:rPr>
          <w:rFonts w:ascii="Times New Roman" w:hAnsi="Times New Roman" w:cs="Times New Roman"/>
          <w:sz w:val="22"/>
          <w:lang w:val="ru-RU"/>
        </w:rPr>
      </w:pPr>
      <w:bookmarkStart w:id="184" w:name="_Toc168064817"/>
      <w:r>
        <w:rPr>
          <w:rFonts w:ascii="Times New Roman" w:eastAsiaTheme="minorEastAsia" w:hAnsi="Times New Roman" w:cstheme="minorHAnsi"/>
          <w:sz w:val="22"/>
        </w:rPr>
        <w:t>Проєкти  сталого енергетичного розвитку ТГ</w:t>
      </w:r>
      <w:bookmarkEnd w:id="184"/>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lang w:eastAsia="uk-UA"/>
        </w:rPr>
        <w:t>Досягнення стратегічної мети та передбачених планом стратегічних цілей здійснюється шляхом енергоефективних заходів, спрямованих на зменшення використання паливно-енергетичних ресурсів у ключових секторах, збільше</w:t>
      </w:r>
      <w:r>
        <w:rPr>
          <w:rFonts w:ascii="Times New Roman" w:eastAsiaTheme="minorEastAsia" w:hAnsi="Times New Roman" w:cstheme="minorHAnsi"/>
          <w:sz w:val="22"/>
          <w:lang w:eastAsia="uk-UA"/>
        </w:rPr>
        <w:t>ння використання зеленої енергетики, покращення екологічного стану громади та поліпшення якості життя громади.</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eastAsia="uk-UA"/>
        </w:rPr>
        <w:t>Даний розділ містить перелік проектів, які спрямовані на досягнення запланованих цілей в обраних секторах, а саме в бюджетний сектор та житловому</w:t>
      </w:r>
      <w:r>
        <w:rPr>
          <w:rFonts w:ascii="Times New Roman" w:eastAsiaTheme="minorEastAsia" w:hAnsi="Times New Roman" w:cstheme="minorHAnsi"/>
          <w:sz w:val="22"/>
          <w:lang w:eastAsia="uk-UA"/>
        </w:rPr>
        <w:t xml:space="preserve"> секторі.</w:t>
      </w:r>
    </w:p>
    <w:p w:rsidR="00275E65" w:rsidRDefault="00902217">
      <w:pPr>
        <w:pStyle w:val="ArHead2"/>
        <w:tabs>
          <w:tab w:val="left" w:pos="709"/>
        </w:tabs>
        <w:spacing w:after="0" w:line="276" w:lineRule="auto"/>
        <w:ind w:firstLine="567"/>
        <w:rPr>
          <w:rFonts w:ascii="Times New Roman" w:hAnsi="Times New Roman" w:cs="Times New Roman"/>
          <w:sz w:val="22"/>
          <w:lang w:val="ru-RU"/>
        </w:rPr>
      </w:pPr>
      <w:bookmarkStart w:id="185" w:name="_Toc168064818"/>
      <w:r>
        <w:rPr>
          <w:rFonts w:ascii="Times New Roman" w:eastAsiaTheme="minorEastAsia" w:hAnsi="Times New Roman" w:cstheme="minorHAnsi"/>
          <w:sz w:val="22"/>
        </w:rPr>
        <w:t>Обмеження та передумови розробки проєктів</w:t>
      </w:r>
      <w:bookmarkEnd w:id="185"/>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lang w:eastAsia="uk-UA"/>
        </w:rPr>
        <w:t>Розроблення будь-якого плану базується на аналізі ситуації сьогодення та минулих періодів і визначенні набору наявних обмежень, що впливають на формування системи пріоритетів для вибору найбільш оптимальн</w:t>
      </w:r>
      <w:r>
        <w:rPr>
          <w:rFonts w:ascii="Times New Roman" w:eastAsiaTheme="minorEastAsia" w:hAnsi="Times New Roman" w:cstheme="minorHAnsi"/>
          <w:sz w:val="22"/>
          <w:lang w:eastAsia="uk-UA"/>
        </w:rPr>
        <w:t>их методів, заходів, дій для досягнення поставлених цілей за даних умов.</w:t>
      </w:r>
    </w:p>
    <w:p w:rsidR="00275E65" w:rsidRDefault="00902217">
      <w:pPr>
        <w:pStyle w:val="Arord"/>
        <w:numPr>
          <w:ilvl w:val="0"/>
          <w:numId w:val="11"/>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lang w:eastAsia="uk-UA"/>
        </w:rPr>
        <w:t>фінансові обмеження – реалізація проєктів вимагає значних інвестицій, брак коштів може бути серйозною перешкодою для запуску та реалізації проєктів;</w:t>
      </w:r>
    </w:p>
    <w:p w:rsidR="00275E65" w:rsidRDefault="00902217">
      <w:pPr>
        <w:pStyle w:val="Arord"/>
        <w:numPr>
          <w:ilvl w:val="0"/>
          <w:numId w:val="11"/>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політичні та законодавчі обмеження</w:t>
      </w:r>
      <w:r>
        <w:rPr>
          <w:rFonts w:ascii="Times New Roman" w:eastAsiaTheme="minorEastAsia" w:hAnsi="Times New Roman" w:cstheme="minorHAnsi"/>
          <w:sz w:val="22"/>
          <w:lang w:eastAsia="uk-UA"/>
        </w:rPr>
        <w:t xml:space="preserve"> – зміна урядової політики та законодавства може впливати на вигідність та стабільність проєктів, політична нестабільність може створити ризики для інвесторів;</w:t>
      </w:r>
    </w:p>
    <w:p w:rsidR="00275E65" w:rsidRDefault="00902217">
      <w:pPr>
        <w:pStyle w:val="Arord"/>
        <w:numPr>
          <w:ilvl w:val="0"/>
          <w:numId w:val="11"/>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 xml:space="preserve">технічні обмеження – інфраструктура та технічні системи можуть бути застарілими або недостатньо </w:t>
      </w:r>
      <w:r>
        <w:rPr>
          <w:rFonts w:ascii="Times New Roman" w:eastAsiaTheme="minorEastAsia" w:hAnsi="Times New Roman" w:cstheme="minorHAnsi"/>
          <w:sz w:val="22"/>
          <w:lang w:eastAsia="uk-UA"/>
        </w:rPr>
        <w:t>розвинутими для впровадження нових технологій,  вдосконалення технічної бази може вимагати значних зусиль та ресурсів;</w:t>
      </w:r>
    </w:p>
    <w:p w:rsidR="00275E65" w:rsidRDefault="00902217">
      <w:pPr>
        <w:pStyle w:val="Arord"/>
        <w:numPr>
          <w:ilvl w:val="0"/>
          <w:numId w:val="11"/>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екологічні обмеження – реалізація проєктів має бути спрямована на забезпечення того, щоб сталий енергетичний розвиток відбувався з мініма</w:t>
      </w:r>
      <w:r>
        <w:rPr>
          <w:rFonts w:ascii="Times New Roman" w:eastAsiaTheme="minorEastAsia" w:hAnsi="Times New Roman" w:cstheme="minorHAnsi"/>
          <w:sz w:val="22"/>
          <w:lang w:eastAsia="uk-UA"/>
        </w:rPr>
        <w:t>льним негативним впливом на довкілля і біорізноманіття, сприяючи при цьому збереженню природних ресурсів і покращенню якості середовища;</w:t>
      </w:r>
    </w:p>
    <w:p w:rsidR="00275E65" w:rsidRDefault="00902217">
      <w:pPr>
        <w:pStyle w:val="Arord"/>
        <w:numPr>
          <w:ilvl w:val="0"/>
          <w:numId w:val="11"/>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 xml:space="preserve">соціальнокультурні фактори – деякі проєкти сталого енергетичного розвитку можуть стикатися з опозицією місцевих громад </w:t>
      </w:r>
      <w:r>
        <w:rPr>
          <w:rFonts w:ascii="Times New Roman" w:eastAsiaTheme="minorEastAsia" w:hAnsi="Times New Roman" w:cstheme="minorHAnsi"/>
          <w:sz w:val="22"/>
          <w:lang w:eastAsia="uk-UA"/>
        </w:rPr>
        <w:t>або громадських об'єднань. Соціальна підтримка і сприяння спільноти можуть бути ключовими для успіху проекту.</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lang w:eastAsia="uk-UA"/>
        </w:rPr>
        <w:t>Основними передумовами для розробки проєктів сталого енергетичного розвитку слугує комплексний підхід до забезпечення енергетичної безпеки та стал</w:t>
      </w:r>
      <w:r>
        <w:rPr>
          <w:rFonts w:ascii="Times New Roman" w:eastAsiaTheme="minorEastAsia" w:hAnsi="Times New Roman" w:cstheme="minorHAnsi"/>
          <w:sz w:val="22"/>
          <w:lang w:eastAsia="uk-UA"/>
        </w:rPr>
        <w:t>ості Носівської громади та  національної енергетичної системи в цілому. Цей підхід враховує різні аспекти енергетичного розвитку, зокрема:</w:t>
      </w:r>
    </w:p>
    <w:p w:rsidR="00275E65" w:rsidRDefault="00902217">
      <w:pPr>
        <w:pStyle w:val="Arord"/>
        <w:numPr>
          <w:ilvl w:val="0"/>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lang w:eastAsia="uk-UA"/>
        </w:rPr>
        <w:t>енергетичну стабільність: забезпечення незалежності та надійності енергопостачання є однією з ключових передумов стал</w:t>
      </w:r>
      <w:r>
        <w:rPr>
          <w:rFonts w:ascii="Times New Roman" w:eastAsiaTheme="minorEastAsia" w:hAnsi="Times New Roman" w:cstheme="minorHAnsi"/>
          <w:sz w:val="22"/>
          <w:lang w:eastAsia="uk-UA"/>
        </w:rPr>
        <w:t>ого енергетичного розвитку. Це особливо актуально в умовах геополітичної нестабільності, такої як повномасштабне вторгнення Російської Федерації, де потрібно мати стратегії резервування і зменшення залежності від імпортних енергетичних ресурсів;</w:t>
      </w:r>
    </w:p>
    <w:p w:rsidR="00275E65" w:rsidRDefault="00902217">
      <w:pPr>
        <w:pStyle w:val="Arord"/>
        <w:numPr>
          <w:ilvl w:val="1"/>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lang w:eastAsia="uk-UA"/>
        </w:rPr>
        <w:t>енергоефек</w:t>
      </w:r>
      <w:r>
        <w:rPr>
          <w:rFonts w:ascii="Times New Roman" w:eastAsiaTheme="minorEastAsia" w:hAnsi="Times New Roman" w:cstheme="minorHAnsi"/>
          <w:sz w:val="22"/>
          <w:lang w:eastAsia="uk-UA"/>
        </w:rPr>
        <w:t>тивність будівель: підвищення енергоефективності будівель є важливим кроком у зменшенні споживання енергії та зниженні викидів парникових газів. Це може бути досягнуто шляхом впровадження сучасних технологій і матеріалів, термомодернізації будівель, інтегр</w:t>
      </w:r>
      <w:r>
        <w:rPr>
          <w:rFonts w:ascii="Times New Roman" w:eastAsiaTheme="minorEastAsia" w:hAnsi="Times New Roman" w:cstheme="minorHAnsi"/>
          <w:sz w:val="22"/>
          <w:lang w:eastAsia="uk-UA"/>
        </w:rPr>
        <w:t>ації відновлюваних джерел енергії та вдосконалення систем опалення та охолодження;</w:t>
      </w:r>
    </w:p>
    <w:p w:rsidR="00275E65" w:rsidRDefault="00902217">
      <w:pPr>
        <w:pStyle w:val="Arord"/>
        <w:numPr>
          <w:ilvl w:val="1"/>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lang w:eastAsia="uk-UA"/>
        </w:rPr>
        <w:t>зменшення використання енергетичних ресурсів: зменшення споживання енергетичних ресурсів є ключовим аспектом сталого енергетичного розвитку. Це може бути досягнуто шляхом ра</w:t>
      </w:r>
      <w:r>
        <w:rPr>
          <w:rFonts w:ascii="Times New Roman" w:eastAsiaTheme="minorEastAsia" w:hAnsi="Times New Roman" w:cstheme="minorHAnsi"/>
          <w:sz w:val="22"/>
          <w:lang w:eastAsia="uk-UA"/>
        </w:rPr>
        <w:t>ціонального використання енергії, розвитку енергозберігаючих технологій, вдосконалення систем енергетичного управління та стимулювання споживачів до більш обізнаних виборів щодо енергетичних ресурсів;</w:t>
      </w:r>
    </w:p>
    <w:p w:rsidR="00275E65" w:rsidRDefault="00902217">
      <w:pPr>
        <w:pStyle w:val="Arord"/>
        <w:numPr>
          <w:ilvl w:val="1"/>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lang w:eastAsia="uk-UA"/>
        </w:rPr>
        <w:t>досягнення національних цілей із споживання відновлюваних енергетичних ресурсів (ПЕР): використання відновлюваних джерел енергії, таких як сонячна, вітрова, гідроенергетика і біомаса, допомагає зменшити залежність від традиційних, нестійких енергетичних дж</w:t>
      </w:r>
      <w:r>
        <w:rPr>
          <w:rFonts w:ascii="Times New Roman" w:eastAsiaTheme="minorEastAsia" w:hAnsi="Times New Roman" w:cstheme="minorHAnsi"/>
          <w:sz w:val="22"/>
          <w:lang w:eastAsia="uk-UA"/>
        </w:rPr>
        <w:t>ерел і викиди парникових газів. Досягнення національних цілей щодо використання ПЕР може включати фінансову підтримку для виробників ПЕР, стимулюючі законодавчі акти і регулювання, а також інфраструктурні ініціативи для розвитку ПЕР.</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lang w:eastAsia="uk-UA"/>
        </w:rPr>
        <w:t>Загалом, сталий енерге</w:t>
      </w:r>
      <w:r>
        <w:rPr>
          <w:rFonts w:ascii="Times New Roman" w:eastAsiaTheme="minorEastAsia" w:hAnsi="Times New Roman" w:cstheme="minorHAnsi"/>
          <w:sz w:val="22"/>
          <w:lang w:eastAsia="uk-UA"/>
        </w:rPr>
        <w:t>тичний розвиток передбачає баланс між потребами сучасного суспільства у енергії та збереженням екологічної і соціальної стійкості. Для досягнення цієї мети, необхідно розробляти та реалізовувати проекти, які сприяють сталому використанню енергетичних ресур</w:t>
      </w:r>
      <w:r>
        <w:rPr>
          <w:rFonts w:ascii="Times New Roman" w:eastAsiaTheme="minorEastAsia" w:hAnsi="Times New Roman" w:cstheme="minorHAnsi"/>
          <w:sz w:val="22"/>
          <w:lang w:eastAsia="uk-UA"/>
        </w:rPr>
        <w:t>сів, забезпечують стабільність постачання енергії та сприяють досягненню національних стратегічних цілей.</w:t>
      </w:r>
    </w:p>
    <w:p w:rsidR="00275E65" w:rsidRDefault="00902217">
      <w:pPr>
        <w:pStyle w:val="ArHead2"/>
        <w:tabs>
          <w:tab w:val="left" w:pos="709"/>
        </w:tabs>
        <w:spacing w:after="0" w:line="276" w:lineRule="auto"/>
        <w:ind w:firstLine="567"/>
        <w:rPr>
          <w:rFonts w:ascii="Times New Roman" w:hAnsi="Times New Roman" w:cs="Times New Roman"/>
          <w:sz w:val="22"/>
        </w:rPr>
      </w:pPr>
      <w:bookmarkStart w:id="186" w:name="_Toc168064819"/>
      <w:r>
        <w:rPr>
          <w:rFonts w:ascii="Times New Roman" w:eastAsiaTheme="minorEastAsia" w:hAnsi="Times New Roman" w:cstheme="minorHAnsi"/>
          <w:sz w:val="22"/>
        </w:rPr>
        <w:t>Проєкти для  досягнення цілей</w:t>
      </w:r>
      <w:bookmarkEnd w:id="186"/>
    </w:p>
    <w:p w:rsidR="00275E65" w:rsidRDefault="00902217">
      <w:pPr>
        <w:pStyle w:val="Arord"/>
        <w:tabs>
          <w:tab w:val="left" w:pos="709"/>
        </w:tabs>
        <w:spacing w:after="0" w:line="276" w:lineRule="auto"/>
        <w:ind w:firstLine="567"/>
        <w:rPr>
          <w:rFonts w:ascii="Times New Roman" w:eastAsia="Times New Roman" w:hAnsi="Times New Roman" w:cs="Times New Roman"/>
          <w:b/>
          <w:bCs/>
          <w:color w:val="000000"/>
          <w:sz w:val="22"/>
          <w:lang w:eastAsia="uk-UA"/>
        </w:rPr>
      </w:pPr>
      <w:r>
        <w:rPr>
          <w:rFonts w:ascii="Times New Roman" w:eastAsiaTheme="minorEastAsia" w:hAnsi="Times New Roman" w:cstheme="minorHAnsi"/>
          <w:b/>
          <w:bCs/>
          <w:sz w:val="22"/>
        </w:rPr>
        <w:t>Технічні проєкти</w:t>
      </w:r>
      <w:r>
        <w:rPr>
          <w:rFonts w:ascii="Times New Roman" w:eastAsiaTheme="minorEastAsia" w:hAnsi="Times New Roman" w:cstheme="minorHAnsi"/>
          <w:b/>
          <w:bCs/>
          <w:color w:val="000000"/>
          <w:sz w:val="22"/>
          <w:lang w:eastAsia="uk-UA"/>
        </w:rPr>
        <w:t xml:space="preserve"> </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color w:val="000000"/>
          <w:sz w:val="22"/>
          <w:lang w:eastAsia="uk-UA"/>
        </w:rPr>
        <w:t>Технічні проекти передбачають капітальні вкладення у покращення енергетичних характеристик фізичних об</w:t>
      </w:r>
      <w:r>
        <w:rPr>
          <w:rFonts w:ascii="Times New Roman" w:eastAsiaTheme="minorEastAsia" w:hAnsi="Times New Roman" w:cstheme="minorHAnsi"/>
          <w:color w:val="000000"/>
          <w:sz w:val="22"/>
          <w:lang w:eastAsia="uk-UA"/>
        </w:rPr>
        <w:t>’єктів житлового фонду, соціальної інфраструктури, створення та/або енергетичну модернізацію об’єктів систем життєзабезпечення та енергозабезпечення, системи транспорту, іншої інфраструктури на території Носівської громади шляхом будівництва для підвищення</w:t>
      </w:r>
      <w:r>
        <w:rPr>
          <w:rFonts w:ascii="Times New Roman" w:eastAsiaTheme="minorEastAsia" w:hAnsi="Times New Roman" w:cstheme="minorHAnsi"/>
          <w:color w:val="000000"/>
          <w:sz w:val="22"/>
          <w:lang w:eastAsia="uk-UA"/>
        </w:rPr>
        <w:t xml:space="preserve"> енергетичної ефективності, розвитку відновлюваних джерел енергії тощо (у тому числі розроблення прийнятних для фінансових установ попередніх техніко-економічних обґрунтувань інвестиційних проєктів).</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color w:val="000000"/>
          <w:sz w:val="22"/>
          <w:lang w:eastAsia="uk-UA"/>
        </w:rPr>
        <w:t>Перелік проєктів надається нижче.</w:t>
      </w:r>
    </w:p>
    <w:p w:rsidR="00275E65" w:rsidRDefault="00902217">
      <w:pPr>
        <w:pStyle w:val="Arord"/>
        <w:tabs>
          <w:tab w:val="left" w:pos="709"/>
        </w:tabs>
        <w:spacing w:after="0" w:line="276" w:lineRule="auto"/>
        <w:ind w:firstLine="567"/>
        <w:rPr>
          <w:rFonts w:ascii="Times New Roman" w:hAnsi="Times New Roman" w:cs="Times New Roman"/>
          <w:b/>
          <w:bCs/>
          <w:sz w:val="22"/>
        </w:rPr>
      </w:pPr>
      <w:r>
        <w:rPr>
          <w:rFonts w:ascii="Times New Roman" w:eastAsiaTheme="minorEastAsia" w:hAnsi="Times New Roman" w:cstheme="minorHAnsi"/>
          <w:b/>
          <w:bCs/>
          <w:sz w:val="22"/>
        </w:rPr>
        <w:t>Організаційні проєкти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color w:val="000000"/>
          <w:sz w:val="22"/>
          <w:lang w:eastAsia="uk-UA"/>
        </w:rPr>
        <w:t>Організаційні проєкти передбачають впровадження заходів організаційного, економічного, інформаційного характеру, у тому числі щодо впровадження систем енергетичного менеджменту, створення економічних стимулів, розбудови спроможності громади, підвищення ква</w:t>
      </w:r>
      <w:r>
        <w:rPr>
          <w:rFonts w:ascii="Times New Roman" w:eastAsiaTheme="minorEastAsia" w:hAnsi="Times New Roman" w:cstheme="minorHAnsi"/>
          <w:color w:val="000000"/>
          <w:sz w:val="22"/>
          <w:lang w:eastAsia="uk-UA"/>
        </w:rPr>
        <w:t>ліфікації, підвищення рівня обізнаності та формування енерго- та ресурсоефективної поведінки населення (у тому числі шляхом проведення інформаційних заходів, кампаній, створення інформаційної продукції та презентаційних матеріалів, створення і забезпечення</w:t>
      </w:r>
      <w:r>
        <w:rPr>
          <w:rFonts w:ascii="Times New Roman" w:eastAsiaTheme="minorEastAsia" w:hAnsi="Times New Roman" w:cstheme="minorHAnsi"/>
          <w:color w:val="000000"/>
          <w:sz w:val="22"/>
          <w:lang w:eastAsia="uk-UA"/>
        </w:rPr>
        <w:t xml:space="preserve"> постійного функціонування консультаційних центрів щодо технічних, адміністративних, фінансових питань та сучасних інструментів впровадження заходів технічного характеру) тощо.</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color w:val="000000"/>
          <w:sz w:val="22"/>
          <w:lang w:eastAsia="uk-UA"/>
        </w:rPr>
        <w:t>Основними задачами системи енергетичного менеджменту на місцевому рівні  є:</w:t>
      </w:r>
    </w:p>
    <w:p w:rsidR="00275E65" w:rsidRDefault="00902217">
      <w:pPr>
        <w:pStyle w:val="Arord"/>
        <w:numPr>
          <w:ilvl w:val="0"/>
          <w:numId w:val="10"/>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підтримання витрат на енергоносії в бюджетній сфері на мінімально можливому (з врахуванням існуючого технічного стану) рівні з одночасним підтриманням умов перебування відвідувачів та персоналу на рівні, що відповідає діючим нормативним документам;</w:t>
      </w:r>
    </w:p>
    <w:p w:rsidR="00275E65" w:rsidRDefault="00902217">
      <w:pPr>
        <w:pStyle w:val="Arord"/>
        <w:numPr>
          <w:ilvl w:val="0"/>
          <w:numId w:val="10"/>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підгото</w:t>
      </w:r>
      <w:r>
        <w:rPr>
          <w:rFonts w:ascii="Times New Roman" w:eastAsiaTheme="minorEastAsia" w:hAnsi="Times New Roman" w:cstheme="minorHAnsi"/>
          <w:sz w:val="22"/>
          <w:lang w:eastAsia="uk-UA"/>
        </w:rPr>
        <w:t>вка та впровадження технічних та організаційних заходів щодо зниження витрат бюджету на енергоносії та покращення умов перебування відвідувачів та персоналу;</w:t>
      </w:r>
    </w:p>
    <w:p w:rsidR="00275E65" w:rsidRDefault="00902217">
      <w:pPr>
        <w:pStyle w:val="Arord"/>
        <w:numPr>
          <w:ilvl w:val="0"/>
          <w:numId w:val="10"/>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впровадження системи стимулювання ощадного використання енергоресурсів.</w:t>
      </w:r>
    </w:p>
    <w:p w:rsidR="00275E65" w:rsidRDefault="00902217">
      <w:pPr>
        <w:pStyle w:val="Arord"/>
        <w:numPr>
          <w:ilvl w:val="0"/>
          <w:numId w:val="10"/>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Для успішного виконання за</w:t>
      </w:r>
      <w:r>
        <w:rPr>
          <w:rFonts w:ascii="Times New Roman" w:eastAsiaTheme="minorEastAsia" w:hAnsi="Times New Roman" w:cstheme="minorHAnsi"/>
          <w:sz w:val="22"/>
          <w:lang w:eastAsia="uk-UA"/>
        </w:rPr>
        <w:t>значених завдань необхідно забезпечити ефективне функціонування наступних підсистем:</w:t>
      </w:r>
    </w:p>
    <w:p w:rsidR="00275E65" w:rsidRDefault="00902217">
      <w:pPr>
        <w:pStyle w:val="Arord"/>
        <w:numPr>
          <w:ilvl w:val="0"/>
          <w:numId w:val="10"/>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lang w:eastAsia="uk-UA"/>
        </w:rPr>
        <w:t>моніторинг енергоспоживання;</w:t>
      </w:r>
    </w:p>
    <w:p w:rsidR="00275E65" w:rsidRDefault="00902217">
      <w:pPr>
        <w:pStyle w:val="Arord"/>
        <w:numPr>
          <w:ilvl w:val="0"/>
          <w:numId w:val="10"/>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планування впровадження заходів з підвищення ефективності енергоспоживання;</w:t>
      </w:r>
    </w:p>
    <w:p w:rsidR="00275E65" w:rsidRDefault="00902217">
      <w:pPr>
        <w:pStyle w:val="Arord"/>
        <w:numPr>
          <w:ilvl w:val="0"/>
          <w:numId w:val="10"/>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залучення джерел фінансування заходів з підвищення ефективності ен</w:t>
      </w:r>
      <w:r>
        <w:rPr>
          <w:rFonts w:ascii="Times New Roman" w:eastAsiaTheme="minorEastAsia" w:hAnsi="Times New Roman" w:cstheme="minorHAnsi"/>
          <w:sz w:val="22"/>
          <w:lang w:eastAsia="uk-UA"/>
        </w:rPr>
        <w:t>ергоспоживання;</w:t>
      </w:r>
    </w:p>
    <w:p w:rsidR="00275E65" w:rsidRDefault="00902217">
      <w:pPr>
        <w:pStyle w:val="Arord"/>
        <w:numPr>
          <w:ilvl w:val="0"/>
          <w:numId w:val="10"/>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контроль за ефективністю  впровадження заходів з енергозбереження;</w:t>
      </w:r>
    </w:p>
    <w:p w:rsidR="00275E65" w:rsidRDefault="00902217">
      <w:pPr>
        <w:pStyle w:val="Arord"/>
        <w:numPr>
          <w:ilvl w:val="0"/>
          <w:numId w:val="10"/>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lang w:eastAsia="uk-UA"/>
        </w:rPr>
        <w:t>навчання персоналу структурних підрозділів;</w:t>
      </w:r>
    </w:p>
    <w:p w:rsidR="00275E65" w:rsidRDefault="00902217">
      <w:pPr>
        <w:pStyle w:val="Arord"/>
        <w:numPr>
          <w:ilvl w:val="0"/>
          <w:numId w:val="10"/>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lang w:eastAsia="uk-UA"/>
        </w:rPr>
        <w:t>мотивація ощадного енергоспоживання.</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eastAsia="uk-UA"/>
        </w:rPr>
        <w:t>Надзвичайно важливою в організаційних проєктах є інформаційна складова, а саме:</w:t>
      </w:r>
    </w:p>
    <w:p w:rsidR="00275E65" w:rsidRDefault="00902217">
      <w:pPr>
        <w:pStyle w:val="Arord"/>
        <w:numPr>
          <w:ilvl w:val="1"/>
          <w:numId w:val="9"/>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забезпечення</w:t>
      </w:r>
      <w:r>
        <w:rPr>
          <w:rFonts w:ascii="Times New Roman" w:eastAsiaTheme="minorEastAsia" w:hAnsi="Times New Roman" w:cstheme="minorHAnsi"/>
          <w:sz w:val="22"/>
          <w:lang w:eastAsia="uk-UA"/>
        </w:rPr>
        <w:t xml:space="preserve"> безперешкодного і повного доступу до інформації щодо наявних програм підтримки енергоефективності;</w:t>
      </w:r>
    </w:p>
    <w:p w:rsidR="00275E65" w:rsidRDefault="00902217">
      <w:pPr>
        <w:pStyle w:val="Arord"/>
        <w:numPr>
          <w:ilvl w:val="1"/>
          <w:numId w:val="9"/>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організація заходів з підвищення обізнаності в сфері енергоефективності для населення, органів влади, підприємств та фінансових установ; </w:t>
      </w:r>
    </w:p>
    <w:p w:rsidR="00275E65" w:rsidRDefault="00902217">
      <w:pPr>
        <w:pStyle w:val="Arord"/>
        <w:numPr>
          <w:ilvl w:val="1"/>
          <w:numId w:val="9"/>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lang w:eastAsia="uk-UA"/>
        </w:rPr>
        <w:t>проведення тренінгів для фахівців по найбільш актуальних темах («Підготовка інвестиційних проектів», «Впровадження заходів з енергоефективності в бюджетних і житлових будівлях», «Організація публічних інформкомпаній», «Виконання експрес обстежень», «Формув</w:t>
      </w:r>
      <w:r>
        <w:rPr>
          <w:rFonts w:ascii="Times New Roman" w:eastAsiaTheme="minorEastAsia" w:hAnsi="Times New Roman" w:cstheme="minorHAnsi"/>
          <w:sz w:val="22"/>
          <w:lang w:eastAsia="uk-UA"/>
        </w:rPr>
        <w:t>ання базової лінії споживання паливо-енергетичних ресурсів для закупівлі енергетичних послуг», «Розробка місцевих програм з енергоефективності», «Впровадження енергоменеджменту та енергомоніторингу»).</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Перелік проєктів надається нижче, однак розрахунок очік</w:t>
      </w:r>
      <w:r>
        <w:rPr>
          <w:rFonts w:ascii="Times New Roman" w:eastAsiaTheme="minorEastAsia" w:hAnsi="Times New Roman" w:cstheme="minorHAnsi"/>
          <w:sz w:val="22"/>
        </w:rPr>
        <w:t xml:space="preserve">уваної економії коштів не проводиться в зв'язку з не можливістю, або складністю підтвердження її досягнення в зв'язку з багатьма невідомими. </w:t>
      </w:r>
    </w:p>
    <w:p w:rsidR="00275E65" w:rsidRDefault="00902217">
      <w:pPr>
        <w:tabs>
          <w:tab w:val="left" w:pos="709"/>
        </w:tabs>
        <w:spacing w:after="0" w:line="276" w:lineRule="auto"/>
        <w:ind w:firstLine="567"/>
        <w:rPr>
          <w:rFonts w:ascii="Times New Roman" w:hAnsi="Times New Roman" w:cs="Times New Roman"/>
          <w:lang w:val="uk-UA"/>
        </w:rPr>
      </w:pPr>
      <w:r>
        <w:rPr>
          <w:rFonts w:ascii="Times New Roman" w:eastAsiaTheme="minorEastAsia" w:hAnsi="Times New Roman" w:cstheme="minorHAnsi"/>
          <w:lang w:val="uk-UA"/>
        </w:rPr>
        <w:br w:type="page"/>
      </w:r>
    </w:p>
    <w:p w:rsidR="00275E65" w:rsidRDefault="00902217">
      <w:pPr>
        <w:pStyle w:val="ArHead1"/>
        <w:tabs>
          <w:tab w:val="left" w:pos="709"/>
        </w:tabs>
        <w:spacing w:after="0" w:line="276" w:lineRule="auto"/>
        <w:ind w:left="0" w:firstLine="567"/>
        <w:rPr>
          <w:rFonts w:ascii="Times New Roman" w:hAnsi="Times New Roman" w:cs="Times New Roman"/>
          <w:sz w:val="22"/>
        </w:rPr>
      </w:pPr>
      <w:bookmarkStart w:id="187" w:name="_Toc168064820"/>
      <w:r>
        <w:rPr>
          <w:rFonts w:ascii="Times New Roman" w:eastAsiaTheme="minorEastAsia" w:hAnsi="Times New Roman" w:cstheme="minorHAnsi"/>
          <w:sz w:val="22"/>
        </w:rPr>
        <w:t>Організація виконання та фінансування МЕП</w:t>
      </w:r>
      <w:bookmarkEnd w:id="187"/>
    </w:p>
    <w:p w:rsidR="00275E65" w:rsidRDefault="00902217">
      <w:pPr>
        <w:pStyle w:val="Arord"/>
        <w:spacing w:line="240" w:lineRule="auto"/>
        <w:rPr>
          <w:rFonts w:ascii="Times New Roman" w:hAnsi="Times New Roman" w:cs="Times New Roman"/>
          <w:sz w:val="22"/>
        </w:rPr>
      </w:pPr>
      <w:r>
        <w:rPr>
          <w:rFonts w:ascii="Times New Roman" w:eastAsiaTheme="minorEastAsia" w:hAnsi="Times New Roman" w:cstheme="minorHAnsi"/>
          <w:sz w:val="22"/>
        </w:rPr>
        <w:t>В даному розділі ми наведемо короткий перелік установ, підприємств, ор</w:t>
      </w:r>
      <w:r>
        <w:rPr>
          <w:rFonts w:ascii="Times New Roman" w:eastAsiaTheme="minorEastAsia" w:hAnsi="Times New Roman" w:cstheme="minorHAnsi"/>
          <w:sz w:val="22"/>
        </w:rPr>
        <w:t>ганізацій (у тому числі міжнародних фінансових організацій, партнерів, інвесторів), які планується залучити до виконання муніципального енергетичного плану Носівки, опишемо потреби у фінансових ресурсах для виконання МЕП, окреслимо потенційні джерела фінан</w:t>
      </w:r>
      <w:r>
        <w:rPr>
          <w:rFonts w:ascii="Times New Roman" w:eastAsiaTheme="minorEastAsia" w:hAnsi="Times New Roman" w:cstheme="minorHAnsi"/>
          <w:sz w:val="22"/>
        </w:rPr>
        <w:t xml:space="preserve">сування, наведемо орієнтовний календарний план реалізації заходів та оцінимо основні потенційні внутрішні і зовнішні ризики при виконанні МЕП, а також спрогнозуємо можливі дії щодо зниження визначених ризиків та опишемо організацію моніторингу, аналізу та </w:t>
      </w:r>
      <w:r>
        <w:rPr>
          <w:rFonts w:ascii="Times New Roman" w:eastAsiaTheme="minorEastAsia" w:hAnsi="Times New Roman" w:cstheme="minorHAnsi"/>
          <w:sz w:val="22"/>
        </w:rPr>
        <w:t>оцінки ефективності МЕП та проєктів сталого енергетичного розвитку Носівки.</w:t>
      </w:r>
    </w:p>
    <w:p w:rsidR="00275E65" w:rsidRDefault="00275E65">
      <w:pPr>
        <w:pStyle w:val="Arord"/>
        <w:rPr>
          <w:rFonts w:ascii="Times New Roman" w:hAnsi="Times New Roman" w:cs="Times New Roman"/>
          <w:sz w:val="22"/>
        </w:rPr>
      </w:pPr>
    </w:p>
    <w:p w:rsidR="00275E65" w:rsidRDefault="00902217">
      <w:pPr>
        <w:pStyle w:val="ArHead2"/>
        <w:tabs>
          <w:tab w:val="left" w:pos="709"/>
        </w:tabs>
        <w:spacing w:after="0" w:line="276" w:lineRule="auto"/>
        <w:ind w:firstLine="567"/>
        <w:rPr>
          <w:rFonts w:ascii="Times New Roman" w:hAnsi="Times New Roman" w:cs="Times New Roman"/>
          <w:sz w:val="22"/>
        </w:rPr>
      </w:pPr>
      <w:bookmarkStart w:id="188" w:name="_Toc168064821"/>
      <w:r>
        <w:rPr>
          <w:rFonts w:ascii="Times New Roman" w:eastAsiaTheme="minorEastAsia" w:hAnsi="Times New Roman" w:cstheme="minorHAnsi"/>
          <w:sz w:val="22"/>
        </w:rPr>
        <w:t>Перелік установ, підприємств, організацій (у тому числі міжнародних фінансових організацій, партнерів, інвесторів), що планується залучити до виконання муніципального енергетичног</w:t>
      </w:r>
      <w:r>
        <w:rPr>
          <w:rFonts w:ascii="Times New Roman" w:eastAsiaTheme="minorEastAsia" w:hAnsi="Times New Roman" w:cstheme="minorHAnsi"/>
          <w:sz w:val="22"/>
        </w:rPr>
        <w:t>о плану</w:t>
      </w:r>
      <w:bookmarkEnd w:id="188"/>
    </w:p>
    <w:p w:rsidR="00275E65" w:rsidRDefault="00902217">
      <w:pPr>
        <w:pStyle w:val="Arord"/>
        <w:spacing w:line="240" w:lineRule="auto"/>
        <w:rPr>
          <w:rFonts w:ascii="Times New Roman" w:hAnsi="Times New Roman" w:cs="Times New Roman"/>
          <w:sz w:val="22"/>
        </w:rPr>
      </w:pPr>
      <w:r>
        <w:rPr>
          <w:rFonts w:ascii="Times New Roman" w:eastAsiaTheme="minorEastAsia" w:hAnsi="Times New Roman" w:cstheme="minorHAnsi"/>
          <w:sz w:val="22"/>
        </w:rPr>
        <w:t>До виконання МЕПі Носівки слід залучити наступні організації, котрі можуть стати джерелом фінансування або співфінансування впровадження заходів:</w:t>
      </w: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ru-RU"/>
        </w:rPr>
        <w:t>Європейський Союз (ЄС):</w:t>
      </w:r>
      <w:r>
        <w:rPr>
          <w:rFonts w:ascii="Times New Roman" w:eastAsiaTheme="minorEastAsia" w:hAnsi="Times New Roman" w:cstheme="minorHAnsi"/>
          <w:sz w:val="22"/>
          <w:lang w:val="ru-RU"/>
        </w:rPr>
        <w:t xml:space="preserve"> ЄС фінансує проекти з енергоефективності через різні програми, такі як Європей</w:t>
      </w:r>
      <w:r>
        <w:rPr>
          <w:rFonts w:ascii="Times New Roman" w:eastAsiaTheme="minorEastAsia" w:hAnsi="Times New Roman" w:cstheme="minorHAnsi"/>
          <w:sz w:val="22"/>
          <w:lang w:val="ru-RU"/>
        </w:rPr>
        <w:t>ський фонд регіонального розвитку. Ці програми спрямовані на підтримку розвитку інфраструктури, зменшення викидів вуглецю та покращення енергетичної ефективності у місцевих громадах.</w:t>
      </w: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ru-RU"/>
        </w:rPr>
        <w:t>Європейський банк реконструкції та розвитку (ЄБРР)</w:t>
      </w:r>
      <w:r>
        <w:rPr>
          <w:rFonts w:ascii="Times New Roman" w:eastAsiaTheme="minorEastAsia" w:hAnsi="Times New Roman" w:cstheme="minorHAnsi"/>
          <w:sz w:val="22"/>
          <w:lang w:val="ru-RU"/>
        </w:rPr>
        <w:t>: ЄБРР надає фінансуван</w:t>
      </w:r>
      <w:r>
        <w:rPr>
          <w:rFonts w:ascii="Times New Roman" w:eastAsiaTheme="minorEastAsia" w:hAnsi="Times New Roman" w:cstheme="minorHAnsi"/>
          <w:sz w:val="22"/>
          <w:lang w:val="ru-RU"/>
        </w:rPr>
        <w:t>ня та технічну допомогу для проектів, що покращують енергоефективність, особливо в перехідних економіках. Вони зосереджені на модернізації об'єктів інфраструктури, використанні відновлюваних джерел енергії та зниженні енергетичного споживання.</w:t>
      </w: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ru-RU"/>
        </w:rPr>
        <w:t>Світовий бан</w:t>
      </w:r>
      <w:r>
        <w:rPr>
          <w:rFonts w:ascii="Times New Roman" w:eastAsiaTheme="minorEastAsia" w:hAnsi="Times New Roman" w:cstheme="minorHAnsi"/>
          <w:b/>
          <w:sz w:val="22"/>
          <w:lang w:val="ru-RU"/>
        </w:rPr>
        <w:t>к:</w:t>
      </w:r>
      <w:r>
        <w:rPr>
          <w:rFonts w:ascii="Times New Roman" w:eastAsiaTheme="minorEastAsia" w:hAnsi="Times New Roman" w:cstheme="minorHAnsi"/>
          <w:sz w:val="22"/>
          <w:lang w:val="ru-RU"/>
        </w:rPr>
        <w:t xml:space="preserve"> Через свої програми, Світовий банк надає фінансування для широкого спектру проектів, що покращують енергоефективність у різних країнах. Це включає модернізацію енергетичних систем, розвиток відновлюваних джерел енергії та підвищення загальної енергетичн</w:t>
      </w:r>
      <w:r>
        <w:rPr>
          <w:rFonts w:ascii="Times New Roman" w:eastAsiaTheme="minorEastAsia" w:hAnsi="Times New Roman" w:cstheme="minorHAnsi"/>
          <w:sz w:val="22"/>
          <w:lang w:val="ru-RU"/>
        </w:rPr>
        <w:t>ої продуктивності.</w:t>
      </w: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ru-RU"/>
        </w:rPr>
        <w:t>Німецьке товариство міжнародного співробітництва (</w:t>
      </w:r>
      <w:r>
        <w:rPr>
          <w:rFonts w:ascii="Times New Roman" w:eastAsiaTheme="minorEastAsia" w:hAnsi="Times New Roman" w:cstheme="minorHAnsi"/>
          <w:b/>
          <w:sz w:val="22"/>
          <w:lang w:val="en-US"/>
        </w:rPr>
        <w:t>GIZ</w:t>
      </w:r>
      <w:r>
        <w:rPr>
          <w:rFonts w:ascii="Times New Roman" w:eastAsiaTheme="minorEastAsia" w:hAnsi="Times New Roman" w:cstheme="minorHAnsi"/>
          <w:b/>
          <w:sz w:val="22"/>
          <w:lang w:val="ru-RU"/>
        </w:rPr>
        <w:t>)</w:t>
      </w:r>
      <w:r>
        <w:rPr>
          <w:rFonts w:ascii="Times New Roman" w:eastAsiaTheme="minorEastAsia" w:hAnsi="Times New Roman" w:cstheme="minorHAnsi"/>
          <w:sz w:val="22"/>
          <w:lang w:val="ru-RU"/>
        </w:rPr>
        <w:t xml:space="preserve">: </w:t>
      </w:r>
      <w:r>
        <w:rPr>
          <w:rFonts w:ascii="Times New Roman" w:eastAsiaTheme="minorEastAsia" w:hAnsi="Times New Roman" w:cstheme="minorHAnsi"/>
          <w:sz w:val="22"/>
          <w:lang w:val="en-US"/>
        </w:rPr>
        <w:t>GIZ</w:t>
      </w:r>
      <w:r>
        <w:rPr>
          <w:rFonts w:ascii="Times New Roman" w:eastAsiaTheme="minorEastAsia" w:hAnsi="Times New Roman" w:cstheme="minorHAnsi"/>
          <w:sz w:val="22"/>
          <w:lang w:val="ru-RU"/>
        </w:rPr>
        <w:t xml:space="preserve"> працює над проектами, що покращують енергоефективність, включаючи розробку та впровадження ефективних енергетичних стандартів, технологій та практик.</w:t>
      </w: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en-US"/>
        </w:rPr>
        <w:t>KfW</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Entwicklungsbank</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KfW</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Development</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Bank</w:t>
      </w:r>
      <w:r>
        <w:rPr>
          <w:rFonts w:ascii="Times New Roman" w:eastAsiaTheme="minorEastAsia" w:hAnsi="Times New Roman" w:cstheme="minorHAnsi"/>
          <w:b/>
          <w:sz w:val="22"/>
          <w:lang w:val="ru-RU"/>
        </w:rPr>
        <w:t>)</w:t>
      </w:r>
      <w:r>
        <w:rPr>
          <w:rFonts w:ascii="Times New Roman" w:eastAsiaTheme="minorEastAsia" w:hAnsi="Times New Roman" w:cstheme="minorHAnsi"/>
          <w:sz w:val="22"/>
          <w:lang w:val="ru-RU"/>
        </w:rPr>
        <w:t xml:space="preserve">: Німецький </w:t>
      </w:r>
      <w:r>
        <w:rPr>
          <w:rFonts w:ascii="Times New Roman" w:eastAsiaTheme="minorEastAsia" w:hAnsi="Times New Roman" w:cstheme="minorHAnsi"/>
          <w:sz w:val="22"/>
        </w:rPr>
        <w:t xml:space="preserve">державний </w:t>
      </w:r>
      <w:r>
        <w:rPr>
          <w:rFonts w:ascii="Times New Roman" w:eastAsiaTheme="minorEastAsia" w:hAnsi="Times New Roman" w:cstheme="minorHAnsi"/>
          <w:sz w:val="22"/>
          <w:lang w:val="ru-RU"/>
        </w:rPr>
        <w:t>банк розвитку, який інвестує у глобальні проекти для боротьби зі зміною клімату, включаючи енергоефективність та сталий розвиток.</w:t>
      </w: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ru-RU"/>
        </w:rPr>
        <w:t>Європейський інвестиційний банк (ЄІБ)</w:t>
      </w:r>
      <w:r>
        <w:rPr>
          <w:rFonts w:ascii="Times New Roman" w:eastAsiaTheme="minorEastAsia" w:hAnsi="Times New Roman" w:cstheme="minorHAnsi"/>
          <w:sz w:val="22"/>
          <w:lang w:val="ru-RU"/>
        </w:rPr>
        <w:t>: ЄІБ фінансує проекти, які підтримують сталий роз</w:t>
      </w:r>
      <w:r>
        <w:rPr>
          <w:rFonts w:ascii="Times New Roman" w:eastAsiaTheme="minorEastAsia" w:hAnsi="Times New Roman" w:cstheme="minorHAnsi"/>
          <w:sz w:val="22"/>
          <w:lang w:val="ru-RU"/>
        </w:rPr>
        <w:t>виток, включаючи ті, що зосереджені на підвищенні енергоефективності та використанні відновлюваних джерел енергії.</w:t>
      </w: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en-US"/>
        </w:rPr>
        <w:t>Covenant</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of</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Mayors</w:t>
      </w:r>
      <w:r>
        <w:rPr>
          <w:rFonts w:ascii="Times New Roman" w:eastAsiaTheme="minorEastAsia" w:hAnsi="Times New Roman" w:cstheme="minorHAnsi"/>
          <w:b/>
          <w:sz w:val="22"/>
          <w:lang w:val="ru-RU"/>
        </w:rPr>
        <w:t xml:space="preserve"> – </w:t>
      </w:r>
      <w:r>
        <w:rPr>
          <w:rFonts w:ascii="Times New Roman" w:eastAsiaTheme="minorEastAsia" w:hAnsi="Times New Roman" w:cstheme="minorHAnsi"/>
          <w:b/>
          <w:sz w:val="22"/>
          <w:lang w:val="en-US"/>
        </w:rPr>
        <w:t>Demonstration</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Projects</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CoM</w:t>
      </w:r>
      <w:r>
        <w:rPr>
          <w:rFonts w:ascii="Times New Roman" w:eastAsiaTheme="minorEastAsia" w:hAnsi="Times New Roman" w:cstheme="minorHAnsi"/>
          <w:b/>
          <w:sz w:val="22"/>
          <w:lang w:val="ru-RU"/>
        </w:rPr>
        <w:t>-</w:t>
      </w:r>
      <w:r>
        <w:rPr>
          <w:rFonts w:ascii="Times New Roman" w:eastAsiaTheme="minorEastAsia" w:hAnsi="Times New Roman" w:cstheme="minorHAnsi"/>
          <w:b/>
          <w:sz w:val="22"/>
          <w:lang w:val="en-US"/>
        </w:rPr>
        <w:t>DeP</w:t>
      </w:r>
      <w:r>
        <w:rPr>
          <w:rFonts w:ascii="Times New Roman" w:eastAsiaTheme="minorEastAsia" w:hAnsi="Times New Roman" w:cstheme="minorHAnsi"/>
          <w:b/>
          <w:sz w:val="22"/>
          <w:lang w:val="ru-RU"/>
        </w:rPr>
        <w:t>)</w:t>
      </w:r>
      <w:r>
        <w:rPr>
          <w:rFonts w:ascii="Times New Roman" w:eastAsiaTheme="minorEastAsia" w:hAnsi="Times New Roman" w:cstheme="minorHAnsi"/>
          <w:sz w:val="22"/>
          <w:lang w:val="ru-RU"/>
        </w:rPr>
        <w:t xml:space="preserve"> - це ініціатива, спрямована на підтримку міст, які є членами Угоди мерів, у реалізації </w:t>
      </w:r>
      <w:r>
        <w:rPr>
          <w:rFonts w:ascii="Times New Roman" w:eastAsiaTheme="minorEastAsia" w:hAnsi="Times New Roman" w:cstheme="minorHAnsi"/>
          <w:sz w:val="22"/>
          <w:lang w:val="ru-RU"/>
        </w:rPr>
        <w:t xml:space="preserve">їх планів дій зі сталої енергії. </w:t>
      </w:r>
      <w:r>
        <w:rPr>
          <w:rFonts w:ascii="Times New Roman" w:eastAsiaTheme="minorEastAsia" w:hAnsi="Times New Roman" w:cstheme="minorHAnsi"/>
          <w:sz w:val="22"/>
          <w:lang w:val="en-US"/>
        </w:rPr>
        <w:t>CoM</w:t>
      </w:r>
      <w:r>
        <w:rPr>
          <w:rFonts w:ascii="Times New Roman" w:eastAsiaTheme="minorEastAsia" w:hAnsi="Times New Roman" w:cstheme="minorHAnsi"/>
          <w:sz w:val="22"/>
          <w:lang w:val="ru-RU"/>
        </w:rPr>
        <w:t>-</w:t>
      </w:r>
      <w:r>
        <w:rPr>
          <w:rFonts w:ascii="Times New Roman" w:eastAsiaTheme="minorEastAsia" w:hAnsi="Times New Roman" w:cstheme="minorHAnsi"/>
          <w:sz w:val="22"/>
          <w:lang w:val="en-US"/>
        </w:rPr>
        <w:t>DeP</w:t>
      </w:r>
      <w:r>
        <w:rPr>
          <w:rFonts w:ascii="Times New Roman" w:eastAsiaTheme="minorEastAsia" w:hAnsi="Times New Roman" w:cstheme="minorHAnsi"/>
          <w:sz w:val="22"/>
          <w:lang w:val="ru-RU"/>
        </w:rPr>
        <w:t xml:space="preserve"> фокусується на демонстраційних проектах, які </w:t>
      </w:r>
      <w:r>
        <w:rPr>
          <w:rFonts w:ascii="Times New Roman" w:eastAsiaTheme="minorEastAsia" w:hAnsi="Times New Roman" w:cstheme="minorHAnsi"/>
          <w:sz w:val="22"/>
        </w:rPr>
        <w:t xml:space="preserve">ілюструють </w:t>
      </w:r>
      <w:r>
        <w:rPr>
          <w:rFonts w:ascii="Times New Roman" w:eastAsiaTheme="minorEastAsia" w:hAnsi="Times New Roman" w:cstheme="minorHAnsi"/>
          <w:sz w:val="22"/>
          <w:lang w:val="ru-RU"/>
        </w:rPr>
        <w:t xml:space="preserve">практичне впровадження заходів, спрямованих на підвищення енергоефективності та використання відновлюваних джерел енергії у муніципалітетах. </w:t>
      </w:r>
      <w:r>
        <w:rPr>
          <w:rFonts w:ascii="Times New Roman" w:eastAsiaTheme="minorEastAsia" w:hAnsi="Times New Roman" w:cstheme="minorHAnsi"/>
          <w:sz w:val="22"/>
          <w:lang w:val="en-US"/>
        </w:rPr>
        <w:t>CoM</w:t>
      </w:r>
      <w:r>
        <w:rPr>
          <w:rFonts w:ascii="Times New Roman" w:eastAsiaTheme="minorEastAsia" w:hAnsi="Times New Roman" w:cstheme="minorHAnsi"/>
          <w:sz w:val="22"/>
          <w:lang w:val="ru-RU"/>
        </w:rPr>
        <w:t>-</w:t>
      </w:r>
      <w:r>
        <w:rPr>
          <w:rFonts w:ascii="Times New Roman" w:eastAsiaTheme="minorEastAsia" w:hAnsi="Times New Roman" w:cstheme="minorHAnsi"/>
          <w:sz w:val="22"/>
          <w:lang w:val="en-US"/>
        </w:rPr>
        <w:t>DeP</w:t>
      </w:r>
      <w:r>
        <w:rPr>
          <w:rFonts w:ascii="Times New Roman" w:eastAsiaTheme="minorEastAsia" w:hAnsi="Times New Roman" w:cstheme="minorHAnsi"/>
          <w:sz w:val="22"/>
          <w:lang w:val="ru-RU"/>
        </w:rPr>
        <w:t xml:space="preserve"> надає техн</w:t>
      </w:r>
      <w:r>
        <w:rPr>
          <w:rFonts w:ascii="Times New Roman" w:eastAsiaTheme="minorEastAsia" w:hAnsi="Times New Roman" w:cstheme="minorHAnsi"/>
          <w:sz w:val="22"/>
          <w:lang w:val="ru-RU"/>
        </w:rPr>
        <w:t xml:space="preserve">ічну підтримку та фінансування для втілення цих проектів, допомагаючи містам досягти своїх цілей у сфері сталого розвитку та зменшення впливу на зміну клімату. Це дозволяє муніципалітетам служити прикладом ефективної реалізації енергетичних та екологічних </w:t>
      </w:r>
      <w:r>
        <w:rPr>
          <w:rFonts w:ascii="Times New Roman" w:eastAsiaTheme="minorEastAsia" w:hAnsi="Times New Roman" w:cstheme="minorHAnsi"/>
          <w:sz w:val="22"/>
          <w:lang w:val="ru-RU"/>
        </w:rPr>
        <w:t>ініціатив.</w:t>
      </w: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en-US"/>
        </w:rPr>
        <w:t>Nordic</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Environment</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Finance</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Corporation</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NEFCO</w:t>
      </w:r>
      <w:r>
        <w:rPr>
          <w:rFonts w:ascii="Times New Roman" w:eastAsiaTheme="minorEastAsia" w:hAnsi="Times New Roman" w:cstheme="minorHAnsi"/>
          <w:b/>
          <w:sz w:val="22"/>
          <w:lang w:val="ru-RU"/>
        </w:rPr>
        <w:t>)</w:t>
      </w:r>
      <w:r>
        <w:rPr>
          <w:rFonts w:ascii="Times New Roman" w:eastAsiaTheme="minorEastAsia" w:hAnsi="Times New Roman" w:cstheme="minorHAnsi"/>
          <w:sz w:val="22"/>
          <w:lang w:val="ru-RU"/>
        </w:rPr>
        <w:t xml:space="preserve">: </w:t>
      </w:r>
      <w:r>
        <w:rPr>
          <w:rFonts w:ascii="Times New Roman" w:eastAsiaTheme="minorEastAsia" w:hAnsi="Times New Roman" w:cstheme="minorHAnsi"/>
          <w:sz w:val="22"/>
          <w:lang w:val="en-US"/>
        </w:rPr>
        <w:t>NEFCO</w:t>
      </w:r>
      <w:r>
        <w:rPr>
          <w:rFonts w:ascii="Times New Roman" w:eastAsiaTheme="minorEastAsia" w:hAnsi="Times New Roman" w:cstheme="minorHAnsi"/>
          <w:sz w:val="22"/>
          <w:lang w:val="ru-RU"/>
        </w:rPr>
        <w:t xml:space="preserve"> спеціалізується на фінансуванні "зелених" інвестицій, включаючи проекти, які покращують енергоефективність та зменшують викиди парникових газів.</w:t>
      </w: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en-US"/>
        </w:rPr>
        <w:t>Eastern</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Europe</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Energy</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Efficiency</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and</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Environment</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Partnership</w:t>
      </w:r>
      <w:r>
        <w:rPr>
          <w:rFonts w:ascii="Times New Roman" w:eastAsiaTheme="minorEastAsia" w:hAnsi="Times New Roman" w:cstheme="minorHAnsi"/>
          <w:b/>
          <w:sz w:val="22"/>
          <w:lang w:val="ru-RU"/>
        </w:rPr>
        <w:t xml:space="preserve"> (</w:t>
      </w:r>
      <w:r>
        <w:rPr>
          <w:rFonts w:ascii="Times New Roman" w:eastAsiaTheme="minorEastAsia" w:hAnsi="Times New Roman" w:cstheme="minorHAnsi"/>
          <w:b/>
          <w:sz w:val="22"/>
          <w:lang w:val="en-US"/>
        </w:rPr>
        <w:t>E</w:t>
      </w:r>
      <w:r>
        <w:rPr>
          <w:rFonts w:ascii="Times New Roman" w:eastAsiaTheme="minorEastAsia" w:hAnsi="Times New Roman" w:cstheme="minorHAnsi"/>
          <w:b/>
          <w:sz w:val="22"/>
          <w:lang w:val="ru-RU"/>
        </w:rPr>
        <w:t>5</w:t>
      </w:r>
      <w:r>
        <w:rPr>
          <w:rFonts w:ascii="Times New Roman" w:eastAsiaTheme="minorEastAsia" w:hAnsi="Times New Roman" w:cstheme="minorHAnsi"/>
          <w:b/>
          <w:sz w:val="22"/>
          <w:lang w:val="en-US"/>
        </w:rPr>
        <w:t>P</w:t>
      </w:r>
      <w:r>
        <w:rPr>
          <w:rFonts w:ascii="Times New Roman" w:eastAsiaTheme="minorEastAsia" w:hAnsi="Times New Roman" w:cstheme="minorHAnsi"/>
          <w:b/>
          <w:sz w:val="22"/>
          <w:lang w:val="ru-RU"/>
        </w:rPr>
        <w:t>)</w:t>
      </w:r>
      <w:r>
        <w:rPr>
          <w:rFonts w:ascii="Times New Roman" w:eastAsiaTheme="minorEastAsia" w:hAnsi="Times New Roman" w:cstheme="minorHAnsi"/>
          <w:sz w:val="22"/>
          <w:lang w:val="ru-RU"/>
        </w:rPr>
        <w:t xml:space="preserve"> - це багатосторонній фонд, створений для підтримки муніципальних інвестицій у проекти, що забезпечують підвищення енергоефективності та захист навколишнього середовища в Східній Європі, зокрема і в Україні. </w:t>
      </w:r>
      <w:r>
        <w:rPr>
          <w:rFonts w:ascii="Times New Roman" w:eastAsiaTheme="minorEastAsia" w:hAnsi="Times New Roman" w:cstheme="minorHAnsi"/>
          <w:sz w:val="22"/>
          <w:lang w:val="en-US"/>
        </w:rPr>
        <w:t>E</w:t>
      </w:r>
      <w:r>
        <w:rPr>
          <w:rFonts w:ascii="Times New Roman" w:eastAsiaTheme="minorEastAsia" w:hAnsi="Times New Roman" w:cstheme="minorHAnsi"/>
          <w:sz w:val="22"/>
          <w:lang w:val="ru-RU"/>
        </w:rPr>
        <w:t>5</w:t>
      </w:r>
      <w:r>
        <w:rPr>
          <w:rFonts w:ascii="Times New Roman" w:eastAsiaTheme="minorEastAsia" w:hAnsi="Times New Roman" w:cstheme="minorHAnsi"/>
          <w:sz w:val="22"/>
          <w:lang w:val="en-US"/>
        </w:rPr>
        <w:t>P</w:t>
      </w:r>
      <w:r>
        <w:rPr>
          <w:rFonts w:ascii="Times New Roman" w:eastAsiaTheme="minorEastAsia" w:hAnsi="Times New Roman" w:cstheme="minorHAnsi"/>
          <w:sz w:val="22"/>
          <w:lang w:val="ru-RU"/>
        </w:rPr>
        <w:t xml:space="preserve"> залучає кошти в</w:t>
      </w:r>
      <w:r>
        <w:rPr>
          <w:rFonts w:ascii="Times New Roman" w:eastAsiaTheme="minorEastAsia" w:hAnsi="Times New Roman" w:cstheme="minorHAnsi"/>
          <w:sz w:val="22"/>
          <w:lang w:val="ru-RU"/>
        </w:rPr>
        <w:t>ід Європейського Союзу та інших донорів, включаючи країни-члени та міжнародні фінансові установи. Фонд спрямовує ці кошти на різноманітні проекти, які сприяють зменшенню вуглецевих викидів, покращенню енергоефективності та забезпеченню більш чистого довкіл</w:t>
      </w:r>
      <w:r>
        <w:rPr>
          <w:rFonts w:ascii="Times New Roman" w:eastAsiaTheme="minorEastAsia" w:hAnsi="Times New Roman" w:cstheme="minorHAnsi"/>
          <w:sz w:val="22"/>
          <w:lang w:val="ru-RU"/>
        </w:rPr>
        <w:t>ля. Це може включати модернізацію існуючих систем теплопостачання, покращення утеплення будівель, впровадження енергоефективних технологій та ініціативи з використання відновлюваних джерел енергії.</w:t>
      </w: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en-US"/>
        </w:rPr>
        <w:t>USAID</w:t>
      </w:r>
      <w:r>
        <w:rPr>
          <w:rFonts w:ascii="Times New Roman" w:eastAsiaTheme="minorEastAsia" w:hAnsi="Times New Roman" w:cstheme="minorHAnsi"/>
          <w:b/>
          <w:sz w:val="22"/>
          <w:lang w:val="ru-RU"/>
        </w:rPr>
        <w:t>:</w:t>
      </w:r>
      <w:r>
        <w:rPr>
          <w:rFonts w:ascii="Times New Roman" w:eastAsiaTheme="minorEastAsia" w:hAnsi="Times New Roman" w:cstheme="minorHAnsi"/>
          <w:sz w:val="22"/>
          <w:lang w:val="ru-RU"/>
        </w:rPr>
        <w:t xml:space="preserve"> Через свої програми, </w:t>
      </w:r>
      <w:r>
        <w:rPr>
          <w:rFonts w:ascii="Times New Roman" w:eastAsiaTheme="minorEastAsia" w:hAnsi="Times New Roman" w:cstheme="minorHAnsi"/>
          <w:sz w:val="22"/>
          <w:lang w:val="en-US"/>
        </w:rPr>
        <w:t>USAID</w:t>
      </w:r>
      <w:r>
        <w:rPr>
          <w:rFonts w:ascii="Times New Roman" w:eastAsiaTheme="minorEastAsia" w:hAnsi="Times New Roman" w:cstheme="minorHAnsi"/>
          <w:sz w:val="22"/>
          <w:lang w:val="ru-RU"/>
        </w:rPr>
        <w:t xml:space="preserve"> підтримує проекти, що сприяють енергоефективності та використанню відновлюваних джерел енергії, допомагаючи країнам покращувати їхню енергетичну безпеку та знижувати вплив на навколишнє середовище.</w:t>
      </w:r>
    </w:p>
    <w:p w:rsidR="00275E65" w:rsidRDefault="00275E65">
      <w:pPr>
        <w:pStyle w:val="Arord"/>
        <w:spacing w:line="240" w:lineRule="auto"/>
        <w:rPr>
          <w:rFonts w:ascii="Times New Roman" w:hAnsi="Times New Roman" w:cs="Times New Roman"/>
          <w:sz w:val="22"/>
          <w:lang w:val="ru-RU"/>
        </w:rPr>
      </w:pP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ru-RU"/>
        </w:rPr>
        <w:t>Глобальний екологічний фонд (</w:t>
      </w:r>
      <w:r>
        <w:rPr>
          <w:rFonts w:ascii="Times New Roman" w:eastAsiaTheme="minorEastAsia" w:hAnsi="Times New Roman" w:cstheme="minorHAnsi"/>
          <w:b/>
          <w:sz w:val="22"/>
          <w:lang w:val="en-US"/>
        </w:rPr>
        <w:t>GEF</w:t>
      </w:r>
      <w:r>
        <w:rPr>
          <w:rFonts w:ascii="Times New Roman" w:eastAsiaTheme="minorEastAsia" w:hAnsi="Times New Roman" w:cstheme="minorHAnsi"/>
          <w:b/>
          <w:sz w:val="22"/>
          <w:lang w:val="ru-RU"/>
        </w:rPr>
        <w:t>)</w:t>
      </w:r>
      <w:r>
        <w:rPr>
          <w:rFonts w:ascii="Times New Roman" w:eastAsiaTheme="minorEastAsia" w:hAnsi="Times New Roman" w:cstheme="minorHAnsi"/>
          <w:sz w:val="22"/>
          <w:lang w:val="ru-RU"/>
        </w:rPr>
        <w:t xml:space="preserve">: </w:t>
      </w:r>
      <w:r>
        <w:rPr>
          <w:rFonts w:ascii="Times New Roman" w:eastAsiaTheme="minorEastAsia" w:hAnsi="Times New Roman" w:cstheme="minorHAnsi"/>
          <w:sz w:val="22"/>
          <w:lang w:val="en-US"/>
        </w:rPr>
        <w:t>GEF</w:t>
      </w:r>
      <w:r>
        <w:rPr>
          <w:rFonts w:ascii="Times New Roman" w:eastAsiaTheme="minorEastAsia" w:hAnsi="Times New Roman" w:cstheme="minorHAnsi"/>
          <w:sz w:val="22"/>
          <w:lang w:val="ru-RU"/>
        </w:rPr>
        <w:t xml:space="preserve"> фінансує проекти,</w:t>
      </w:r>
      <w:r>
        <w:rPr>
          <w:rFonts w:ascii="Times New Roman" w:eastAsiaTheme="minorEastAsia" w:hAnsi="Times New Roman" w:cstheme="minorHAnsi"/>
          <w:sz w:val="22"/>
          <w:lang w:val="ru-RU"/>
        </w:rPr>
        <w:t xml:space="preserve"> які адресують ключові екологічні проблеми, включаючи зменшення викидів вуглецю та підвищення енергоефективності, заохочуючи перехід до більш сталого використання ресурсів.</w:t>
      </w:r>
    </w:p>
    <w:p w:rsidR="00275E65" w:rsidRDefault="00902217">
      <w:pPr>
        <w:pStyle w:val="Arord"/>
        <w:spacing w:line="240" w:lineRule="auto"/>
        <w:rPr>
          <w:rFonts w:ascii="Times New Roman" w:hAnsi="Times New Roman" w:cs="Times New Roman"/>
          <w:sz w:val="22"/>
          <w:lang w:val="ru-RU"/>
        </w:rPr>
      </w:pPr>
      <w:r>
        <w:rPr>
          <w:rFonts w:ascii="Times New Roman" w:eastAsiaTheme="minorEastAsia" w:hAnsi="Times New Roman" w:cstheme="minorHAnsi"/>
          <w:b/>
          <w:sz w:val="22"/>
          <w:lang w:val="ru-RU"/>
        </w:rPr>
        <w:t>Різноманітні міжнародні благодійні фонди та організації</w:t>
      </w:r>
      <w:r>
        <w:rPr>
          <w:rFonts w:ascii="Times New Roman" w:eastAsiaTheme="minorEastAsia" w:hAnsi="Times New Roman" w:cstheme="minorHAnsi"/>
          <w:sz w:val="22"/>
          <w:lang w:val="ru-RU"/>
        </w:rPr>
        <w:t>: Ці фонди та організації ча</w:t>
      </w:r>
      <w:r>
        <w:rPr>
          <w:rFonts w:ascii="Times New Roman" w:eastAsiaTheme="minorEastAsia" w:hAnsi="Times New Roman" w:cstheme="minorHAnsi"/>
          <w:sz w:val="22"/>
          <w:lang w:val="ru-RU"/>
        </w:rPr>
        <w:t>сто підтримують ініціативи, пов'язані з енергоефективністю, через гранти та інші форми фінансування, сприяючи інноваціям та сталому розвитку.</w:t>
      </w:r>
    </w:p>
    <w:p w:rsidR="00275E65" w:rsidRDefault="00275E65">
      <w:pPr>
        <w:pStyle w:val="Arord"/>
        <w:spacing w:line="240" w:lineRule="auto"/>
        <w:rPr>
          <w:rFonts w:ascii="Times New Roman" w:hAnsi="Times New Roman" w:cs="Times New Roman"/>
          <w:sz w:val="22"/>
          <w:lang w:val="ru-RU"/>
        </w:rPr>
      </w:pPr>
    </w:p>
    <w:p w:rsidR="00275E65" w:rsidRDefault="00902217">
      <w:pPr>
        <w:pStyle w:val="ArHead2"/>
        <w:tabs>
          <w:tab w:val="left" w:pos="709"/>
        </w:tabs>
        <w:spacing w:after="0" w:line="276" w:lineRule="auto"/>
        <w:ind w:firstLine="567"/>
        <w:rPr>
          <w:rFonts w:ascii="Times New Roman" w:hAnsi="Times New Roman" w:cs="Times New Roman"/>
          <w:sz w:val="22"/>
        </w:rPr>
      </w:pPr>
      <w:bookmarkStart w:id="189" w:name="_Toc168064822"/>
      <w:r>
        <w:rPr>
          <w:rFonts w:ascii="Times New Roman" w:eastAsiaTheme="minorEastAsia" w:hAnsi="Times New Roman" w:cstheme="minorHAnsi"/>
          <w:sz w:val="22"/>
        </w:rPr>
        <w:t>Потреби у фінансових ресурсах для виконання муніципального енергетичного плану та реалізації проєктів сталого ене</w:t>
      </w:r>
      <w:r>
        <w:rPr>
          <w:rFonts w:ascii="Times New Roman" w:eastAsiaTheme="minorEastAsia" w:hAnsi="Times New Roman" w:cstheme="minorHAnsi"/>
          <w:sz w:val="22"/>
        </w:rPr>
        <w:t>ргетичного розвитку</w:t>
      </w:r>
      <w:bookmarkEnd w:id="189"/>
    </w:p>
    <w:p w:rsidR="00275E65" w:rsidRDefault="00902217">
      <w:pPr>
        <w:jc w:val="both"/>
        <w:rPr>
          <w:rFonts w:ascii="Times New Roman" w:hAnsi="Times New Roman" w:cs="Times New Roman"/>
          <w:lang w:val="ru-RU"/>
        </w:rPr>
      </w:pPr>
      <w:r>
        <w:rPr>
          <w:rFonts w:ascii="Times New Roman" w:eastAsiaTheme="minorEastAsia" w:hAnsi="Times New Roman" w:cstheme="minorHAnsi"/>
          <w:lang w:val="uk-UA"/>
        </w:rPr>
        <w:t xml:space="preserve">Потреби у фінансових ресурсах для виконання </w:t>
      </w:r>
      <w:r>
        <w:rPr>
          <w:rFonts w:ascii="Times New Roman" w:eastAsiaTheme="minorEastAsia" w:hAnsi="Times New Roman" w:cstheme="minorHAnsi"/>
          <w:b/>
          <w:lang w:val="uk-UA"/>
        </w:rPr>
        <w:t xml:space="preserve">МЕП </w:t>
      </w:r>
      <w:r>
        <w:rPr>
          <w:rFonts w:ascii="Times New Roman" w:eastAsiaTheme="minorEastAsia" w:hAnsi="Times New Roman" w:cstheme="minorHAnsi"/>
          <w:lang w:val="uk-UA"/>
        </w:rPr>
        <w:t xml:space="preserve">та реалізації проектів сталого енергетичного розвитку в  </w:t>
      </w:r>
      <w:r>
        <w:rPr>
          <w:rFonts w:ascii="Times New Roman" w:eastAsiaTheme="minorEastAsia" w:hAnsi="Times New Roman" w:cstheme="minorHAnsi"/>
          <w:b/>
          <w:lang w:val="uk-UA"/>
        </w:rPr>
        <w:t xml:space="preserve">Носівській  міській  територіальній громаді </w:t>
      </w:r>
      <w:r>
        <w:rPr>
          <w:rFonts w:ascii="Times New Roman" w:eastAsiaTheme="minorEastAsia" w:hAnsi="Times New Roman" w:cstheme="minorHAnsi"/>
          <w:lang w:val="uk-UA"/>
        </w:rPr>
        <w:t xml:space="preserve">можуть значно варіюватися в залежності від специфічних цілей, масштабу проектів та </w:t>
      </w:r>
      <w:r>
        <w:rPr>
          <w:rFonts w:ascii="Times New Roman" w:eastAsiaTheme="minorEastAsia" w:hAnsi="Times New Roman" w:cstheme="minorHAnsi"/>
          <w:b/>
          <w:lang w:val="uk-UA"/>
        </w:rPr>
        <w:t>окре</w:t>
      </w:r>
      <w:r>
        <w:rPr>
          <w:rFonts w:ascii="Times New Roman" w:eastAsiaTheme="minorEastAsia" w:hAnsi="Times New Roman" w:cstheme="minorHAnsi"/>
          <w:b/>
          <w:lang w:val="uk-UA"/>
        </w:rPr>
        <w:t xml:space="preserve">мий конкретних </w:t>
      </w:r>
      <w:r>
        <w:rPr>
          <w:rFonts w:ascii="Times New Roman" w:eastAsiaTheme="minorEastAsia" w:hAnsi="Times New Roman" w:cstheme="minorHAnsi"/>
          <w:lang w:val="uk-UA"/>
        </w:rPr>
        <w:t xml:space="preserve">місцевих умов. </w:t>
      </w:r>
      <w:r>
        <w:rPr>
          <w:rFonts w:ascii="Times New Roman" w:eastAsiaTheme="minorEastAsia" w:hAnsi="Times New Roman" w:cstheme="minorHAnsi"/>
          <w:lang w:val="ru-RU"/>
        </w:rPr>
        <w:t>Однак, можна навести деякі загальні категорії витрат, які зазвичай включаються у такі плани</w:t>
      </w:r>
      <w:r>
        <w:rPr>
          <w:rFonts w:ascii="Times New Roman" w:eastAsiaTheme="minorEastAsia" w:hAnsi="Times New Roman" w:cstheme="minorHAnsi"/>
          <w:b/>
          <w:lang w:val="ru-RU"/>
        </w:rPr>
        <w:t xml:space="preserve"> і точно будуть присутні в </w:t>
      </w:r>
      <w:r>
        <w:rPr>
          <w:rFonts w:ascii="Times New Roman" w:eastAsiaTheme="minorEastAsia" w:hAnsi="Times New Roman" w:cstheme="minorHAnsi"/>
          <w:b/>
          <w:lang w:val="uk-UA"/>
        </w:rPr>
        <w:t>Носівській  міській  територіальній громаді</w:t>
      </w:r>
      <w:r>
        <w:rPr>
          <w:rFonts w:ascii="Times New Roman" w:eastAsiaTheme="minorEastAsia" w:hAnsi="Times New Roman" w:cstheme="minorHAnsi"/>
          <w:lang w:val="ru-RU"/>
        </w:rPr>
        <w:t>:</w:t>
      </w:r>
    </w:p>
    <w:p w:rsidR="00275E65" w:rsidRDefault="00275E65">
      <w:pPr>
        <w:pStyle w:val="ArHead2"/>
        <w:numPr>
          <w:ilvl w:val="0"/>
          <w:numId w:val="0"/>
        </w:numPr>
        <w:spacing w:line="240" w:lineRule="auto"/>
        <w:rPr>
          <w:rFonts w:ascii="Times New Roman" w:hAnsi="Times New Roman" w:cs="Times New Roman"/>
          <w:b w:val="0"/>
          <w:color w:val="auto"/>
          <w:sz w:val="22"/>
        </w:rPr>
      </w:pPr>
    </w:p>
    <w:p w:rsidR="00275E65" w:rsidRDefault="00902217">
      <w:pPr>
        <w:jc w:val="both"/>
        <w:rPr>
          <w:rFonts w:ascii="Times New Roman" w:hAnsi="Times New Roman" w:cs="Times New Roman"/>
          <w:lang w:val="ru-RU"/>
        </w:rPr>
      </w:pPr>
      <w:r>
        <w:rPr>
          <w:rFonts w:ascii="Times New Roman" w:eastAsiaTheme="minorEastAsia" w:hAnsi="Times New Roman" w:cstheme="minorHAnsi"/>
          <w:lang w:val="ru-RU"/>
        </w:rPr>
        <w:t>Енергетичний аудит та планування: Проведення енергетичного аудиту муніципальних будівель, інфраструктури та інших важливих об'єктів для визначення поточного стану енергоефективності та розробка детального плану дій.</w:t>
      </w:r>
    </w:p>
    <w:p w:rsidR="00275E65" w:rsidRDefault="00902217">
      <w:pPr>
        <w:jc w:val="both"/>
        <w:rPr>
          <w:rFonts w:ascii="Times New Roman" w:hAnsi="Times New Roman" w:cs="Times New Roman"/>
          <w:lang w:val="ru-RU"/>
        </w:rPr>
      </w:pPr>
      <w:r>
        <w:rPr>
          <w:rFonts w:ascii="Times New Roman" w:eastAsiaTheme="minorEastAsia" w:hAnsi="Times New Roman" w:cstheme="minorHAnsi"/>
          <w:lang w:val="ru-RU"/>
        </w:rPr>
        <w:t>Модернізація та утеплення будівель: Онов</w:t>
      </w:r>
      <w:r>
        <w:rPr>
          <w:rFonts w:ascii="Times New Roman" w:eastAsiaTheme="minorEastAsia" w:hAnsi="Times New Roman" w:cstheme="minorHAnsi"/>
          <w:lang w:val="ru-RU"/>
        </w:rPr>
        <w:t>лення систем опалення, вентиляції та кондиціонування, утеплення стін, встановлення енергоефективних вікон та дверей, покращення теплоізоляції дахів та підлог.</w:t>
      </w:r>
    </w:p>
    <w:p w:rsidR="00275E65" w:rsidRDefault="00902217">
      <w:pPr>
        <w:jc w:val="both"/>
        <w:rPr>
          <w:rFonts w:ascii="Times New Roman" w:hAnsi="Times New Roman" w:cs="Times New Roman"/>
          <w:lang w:val="ru-RU"/>
        </w:rPr>
      </w:pPr>
      <w:r>
        <w:rPr>
          <w:rFonts w:ascii="Times New Roman" w:eastAsiaTheme="minorEastAsia" w:hAnsi="Times New Roman" w:cstheme="minorHAnsi"/>
          <w:lang w:val="ru-RU"/>
        </w:rPr>
        <w:t xml:space="preserve">Оновлення вуличного освітлення: Заміна існуючого освітлення на </w:t>
      </w:r>
      <w:r>
        <w:rPr>
          <w:rFonts w:ascii="Times New Roman" w:eastAsiaTheme="minorEastAsia" w:hAnsi="Times New Roman" w:cstheme="minorHAnsi"/>
        </w:rPr>
        <w:t>LED</w:t>
      </w:r>
      <w:r>
        <w:rPr>
          <w:rFonts w:ascii="Times New Roman" w:eastAsiaTheme="minorEastAsia" w:hAnsi="Times New Roman" w:cstheme="minorHAnsi"/>
          <w:lang w:val="ru-RU"/>
        </w:rPr>
        <w:t>-лампи, встановлення розумних с</w:t>
      </w:r>
      <w:r>
        <w:rPr>
          <w:rFonts w:ascii="Times New Roman" w:eastAsiaTheme="minorEastAsia" w:hAnsi="Times New Roman" w:cstheme="minorHAnsi"/>
          <w:lang w:val="ru-RU"/>
        </w:rPr>
        <w:t>истем управління освітленням, модернізація вуличного освітлення.</w:t>
      </w:r>
    </w:p>
    <w:p w:rsidR="00275E65" w:rsidRDefault="00902217">
      <w:pPr>
        <w:jc w:val="both"/>
        <w:rPr>
          <w:rFonts w:ascii="Times New Roman" w:hAnsi="Times New Roman" w:cs="Times New Roman"/>
          <w:lang w:val="ru-RU"/>
        </w:rPr>
      </w:pPr>
      <w:r>
        <w:rPr>
          <w:rFonts w:ascii="Times New Roman" w:eastAsiaTheme="minorEastAsia" w:hAnsi="Times New Roman" w:cstheme="minorHAnsi"/>
          <w:lang w:val="ru-RU"/>
        </w:rPr>
        <w:t xml:space="preserve">Впровадження відновлюваних джерел енергії: </w:t>
      </w:r>
      <w:r>
        <w:rPr>
          <w:rFonts w:ascii="Times New Roman" w:eastAsiaTheme="minorEastAsia" w:hAnsi="Times New Roman" w:cstheme="minorHAnsi"/>
          <w:b/>
          <w:lang w:val="ru-RU"/>
        </w:rPr>
        <w:t xml:space="preserve">встановлення </w:t>
      </w:r>
      <w:r>
        <w:rPr>
          <w:rFonts w:ascii="Times New Roman" w:eastAsiaTheme="minorEastAsia" w:hAnsi="Times New Roman" w:cstheme="minorHAnsi"/>
          <w:lang w:val="ru-RU"/>
        </w:rPr>
        <w:t>сонячних панелей, вітряних турбін, біоенергетичних установок та інших відновлюваних джерел енергії.</w:t>
      </w:r>
    </w:p>
    <w:p w:rsidR="00275E65" w:rsidRDefault="00902217">
      <w:pPr>
        <w:jc w:val="both"/>
        <w:rPr>
          <w:rFonts w:ascii="Times New Roman" w:hAnsi="Times New Roman" w:cs="Times New Roman"/>
          <w:lang w:val="ru-RU"/>
        </w:rPr>
      </w:pPr>
      <w:r>
        <w:rPr>
          <w:rFonts w:ascii="Times New Roman" w:eastAsiaTheme="minorEastAsia" w:hAnsi="Times New Roman" w:cstheme="minorHAnsi"/>
          <w:lang w:val="ru-RU"/>
        </w:rPr>
        <w:t>Удосконалення систем водопостачання</w:t>
      </w:r>
      <w:r>
        <w:rPr>
          <w:rFonts w:ascii="Times New Roman" w:eastAsiaTheme="minorEastAsia" w:hAnsi="Times New Roman" w:cstheme="minorHAnsi"/>
          <w:lang w:val="ru-RU"/>
        </w:rPr>
        <w:t xml:space="preserve"> та каналізації: Оптимізація насосних станцій, модернізація систем водопостачання та очищення стічних вод для зменшення енергоспоживання.</w:t>
      </w:r>
    </w:p>
    <w:p w:rsidR="00275E65" w:rsidRDefault="00275E65">
      <w:pPr>
        <w:jc w:val="both"/>
        <w:rPr>
          <w:rFonts w:ascii="Times New Roman" w:hAnsi="Times New Roman" w:cs="Times New Roman"/>
          <w:lang w:val="ru-RU"/>
        </w:rPr>
      </w:pPr>
    </w:p>
    <w:p w:rsidR="00275E65" w:rsidRDefault="00902217">
      <w:pPr>
        <w:jc w:val="both"/>
        <w:rPr>
          <w:rFonts w:ascii="Times New Roman" w:hAnsi="Times New Roman" w:cs="Times New Roman"/>
          <w:lang w:val="ru-RU"/>
        </w:rPr>
      </w:pPr>
      <w:r>
        <w:rPr>
          <w:rFonts w:ascii="Times New Roman" w:eastAsiaTheme="minorEastAsia" w:hAnsi="Times New Roman" w:cstheme="minorHAnsi"/>
          <w:lang w:val="ru-RU"/>
        </w:rPr>
        <w:t xml:space="preserve">Транспорт та мобільність: </w:t>
      </w:r>
      <w:r>
        <w:rPr>
          <w:rFonts w:ascii="Times New Roman" w:eastAsiaTheme="minorEastAsia" w:hAnsi="Times New Roman" w:cstheme="minorHAnsi"/>
          <w:b/>
          <w:lang w:val="ru-RU"/>
        </w:rPr>
        <w:t>р</w:t>
      </w:r>
      <w:r>
        <w:rPr>
          <w:rFonts w:ascii="Times New Roman" w:eastAsiaTheme="minorEastAsia" w:hAnsi="Times New Roman" w:cstheme="minorHAnsi"/>
          <w:lang w:val="ru-RU"/>
        </w:rPr>
        <w:t xml:space="preserve">озвиток громадського транспорту, впровадження електромобілів у муніципальний транспортний </w:t>
      </w:r>
      <w:r>
        <w:rPr>
          <w:rFonts w:ascii="Times New Roman" w:eastAsiaTheme="minorEastAsia" w:hAnsi="Times New Roman" w:cstheme="minorHAnsi"/>
          <w:lang w:val="ru-RU"/>
        </w:rPr>
        <w:t>парк, створення інфраструктури для велосипедного та пішохідного руху.</w:t>
      </w:r>
    </w:p>
    <w:p w:rsidR="00275E65" w:rsidRDefault="00902217">
      <w:pPr>
        <w:jc w:val="both"/>
        <w:rPr>
          <w:rFonts w:ascii="Times New Roman" w:hAnsi="Times New Roman" w:cs="Times New Roman"/>
          <w:lang w:val="ru-RU"/>
        </w:rPr>
      </w:pPr>
      <w:r>
        <w:rPr>
          <w:rFonts w:ascii="Times New Roman" w:eastAsiaTheme="minorEastAsia" w:hAnsi="Times New Roman" w:cstheme="minorHAnsi"/>
          <w:lang w:val="ru-RU"/>
        </w:rPr>
        <w:t xml:space="preserve">Моніторинг та управління: </w:t>
      </w:r>
      <w:r>
        <w:rPr>
          <w:rFonts w:ascii="Times New Roman" w:eastAsiaTheme="minorEastAsia" w:hAnsi="Times New Roman" w:cstheme="minorHAnsi"/>
          <w:b/>
          <w:lang w:val="ru-RU"/>
        </w:rPr>
        <w:t>в</w:t>
      </w:r>
      <w:r>
        <w:rPr>
          <w:rFonts w:ascii="Times New Roman" w:eastAsiaTheme="minorEastAsia" w:hAnsi="Times New Roman" w:cstheme="minorHAnsi"/>
          <w:lang w:val="ru-RU"/>
        </w:rPr>
        <w:t>становлення систем моніторингу та управління енергоспоживанням, впровадження програмного забезпечення для ефективного управління ресурсами.</w:t>
      </w:r>
    </w:p>
    <w:p w:rsidR="00275E65" w:rsidRDefault="00902217">
      <w:pPr>
        <w:jc w:val="both"/>
        <w:rPr>
          <w:rFonts w:ascii="Times New Roman" w:hAnsi="Times New Roman" w:cs="Times New Roman"/>
          <w:lang w:val="ru-RU"/>
        </w:rPr>
      </w:pPr>
      <w:r>
        <w:rPr>
          <w:rFonts w:ascii="Times New Roman" w:eastAsiaTheme="minorEastAsia" w:hAnsi="Times New Roman" w:cstheme="minorHAnsi"/>
          <w:lang w:val="ru-RU"/>
        </w:rPr>
        <w:t>Навчання та освітні</w:t>
      </w:r>
      <w:r>
        <w:rPr>
          <w:rFonts w:ascii="Times New Roman" w:eastAsiaTheme="minorEastAsia" w:hAnsi="Times New Roman" w:cstheme="minorHAnsi"/>
          <w:lang w:val="ru-RU"/>
        </w:rPr>
        <w:t xml:space="preserve"> програми: </w:t>
      </w:r>
      <w:r>
        <w:rPr>
          <w:rFonts w:ascii="Times New Roman" w:eastAsiaTheme="minorEastAsia" w:hAnsi="Times New Roman" w:cstheme="minorHAnsi"/>
          <w:b/>
          <w:lang w:val="ru-RU"/>
        </w:rPr>
        <w:t>р</w:t>
      </w:r>
      <w:r>
        <w:rPr>
          <w:rFonts w:ascii="Times New Roman" w:eastAsiaTheme="minorEastAsia" w:hAnsi="Times New Roman" w:cstheme="minorHAnsi"/>
          <w:lang w:val="ru-RU"/>
        </w:rPr>
        <w:t>озробка та проведення навчальних курсів, семінарів та інформаційних кампаній для підвищення обізнаності громадськості щодо питань енергоефективності.</w:t>
      </w:r>
    </w:p>
    <w:p w:rsidR="00275E65" w:rsidRDefault="00275E65">
      <w:pPr>
        <w:jc w:val="both"/>
        <w:rPr>
          <w:rFonts w:ascii="Times New Roman" w:hAnsi="Times New Roman" w:cs="Times New Roman"/>
          <w:lang w:val="ru-RU"/>
        </w:rPr>
      </w:pPr>
    </w:p>
    <w:p w:rsidR="00275E65" w:rsidRDefault="00902217">
      <w:pPr>
        <w:jc w:val="both"/>
        <w:rPr>
          <w:rFonts w:ascii="Times New Roman" w:hAnsi="Times New Roman" w:cs="Times New Roman"/>
          <w:b/>
          <w:lang w:val="ru-RU"/>
        </w:rPr>
      </w:pPr>
      <w:r>
        <w:rPr>
          <w:rFonts w:ascii="Times New Roman" w:eastAsiaTheme="minorEastAsia" w:hAnsi="Times New Roman" w:cstheme="minorHAnsi"/>
          <w:lang w:val="ru-RU"/>
        </w:rPr>
        <w:t xml:space="preserve">Фінансування цих заходів може бути забезпечено через місцевий бюджет, державні та міжнародні </w:t>
      </w:r>
      <w:r>
        <w:rPr>
          <w:rFonts w:ascii="Times New Roman" w:eastAsiaTheme="minorEastAsia" w:hAnsi="Times New Roman" w:cstheme="minorHAnsi"/>
          <w:lang w:val="ru-RU"/>
        </w:rPr>
        <w:t xml:space="preserve">гранти, кредити від міжнародних фінансових інституцій, партнерства з приватним сектором та </w:t>
      </w:r>
      <w:r>
        <w:rPr>
          <w:rFonts w:ascii="Times New Roman" w:eastAsiaTheme="minorEastAsia" w:hAnsi="Times New Roman" w:cstheme="minorHAnsi"/>
          <w:b/>
          <w:lang w:val="ru-RU"/>
        </w:rPr>
        <w:t xml:space="preserve">з </w:t>
      </w:r>
      <w:r>
        <w:rPr>
          <w:rFonts w:ascii="Times New Roman" w:eastAsiaTheme="minorEastAsia" w:hAnsi="Times New Roman" w:cstheme="minorHAnsi"/>
          <w:lang w:val="ru-RU"/>
        </w:rPr>
        <w:t>інш</w:t>
      </w:r>
      <w:r>
        <w:rPr>
          <w:rFonts w:ascii="Times New Roman" w:eastAsiaTheme="minorEastAsia" w:hAnsi="Times New Roman" w:cstheme="minorHAnsi"/>
          <w:b/>
          <w:lang w:val="ru-RU"/>
        </w:rPr>
        <w:t>их джерел</w:t>
      </w:r>
      <w:r>
        <w:rPr>
          <w:rFonts w:ascii="Times New Roman" w:eastAsiaTheme="minorEastAsia" w:hAnsi="Times New Roman" w:cstheme="minorHAnsi"/>
          <w:lang w:val="ru-RU"/>
        </w:rPr>
        <w:t>. Важливо також враховувати потенційні заощадження від зниження енергоспоживання, які можуть частково компенсувати витрати на реалізацію цих проектів.</w:t>
      </w:r>
    </w:p>
    <w:p w:rsidR="00275E65" w:rsidRDefault="00275E65">
      <w:pPr>
        <w:pStyle w:val="Arord"/>
      </w:pPr>
    </w:p>
    <w:p w:rsidR="00275E65" w:rsidRDefault="00902217">
      <w:pPr>
        <w:pStyle w:val="ArHead2"/>
        <w:tabs>
          <w:tab w:val="left" w:pos="709"/>
        </w:tabs>
        <w:spacing w:after="0" w:line="276" w:lineRule="auto"/>
        <w:ind w:firstLine="567"/>
        <w:rPr>
          <w:rFonts w:ascii="Times New Roman" w:hAnsi="Times New Roman" w:cs="Times New Roman"/>
          <w:sz w:val="22"/>
          <w:lang w:val="ru-RU"/>
        </w:rPr>
      </w:pPr>
      <w:bookmarkStart w:id="190" w:name="_Toc168064823"/>
      <w:r>
        <w:rPr>
          <w:rFonts w:ascii="Times New Roman" w:eastAsiaTheme="minorEastAsia" w:hAnsi="Times New Roman" w:cstheme="minorHAnsi"/>
          <w:sz w:val="22"/>
        </w:rPr>
        <w:t>Джерела фінансування муніципального енергетичного плану та проєктів сталого енергетичного розвитку</w:t>
      </w:r>
      <w:bookmarkEnd w:id="190"/>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До основних джерел фінансування проєктів та заходів з енергоефективності належать:</w:t>
      </w:r>
    </w:p>
    <w:p w:rsidR="00275E65" w:rsidRDefault="00902217">
      <w:pPr>
        <w:pStyle w:val="Arord"/>
        <w:numPr>
          <w:ilvl w:val="0"/>
          <w:numId w:val="12"/>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 xml:space="preserve">державні цільові програми (державний бюджет); </w:t>
      </w:r>
    </w:p>
    <w:p w:rsidR="00275E65" w:rsidRDefault="00902217">
      <w:pPr>
        <w:pStyle w:val="Arord"/>
        <w:numPr>
          <w:ilvl w:val="0"/>
          <w:numId w:val="12"/>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місцеві цільові програми (місцевий бюджет);</w:t>
      </w:r>
    </w:p>
    <w:p w:rsidR="00275E65" w:rsidRDefault="00902217">
      <w:pPr>
        <w:pStyle w:val="Arord"/>
        <w:numPr>
          <w:ilvl w:val="0"/>
          <w:numId w:val="12"/>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власні кошти підприємств, які здійснюють діяльність у сфері виробництва та транспортування теплової енергії та енергоємних матеріальних ресурсів, а саме амортизаційні відрахування і прибуток;</w:t>
      </w:r>
    </w:p>
    <w:p w:rsidR="00275E65" w:rsidRDefault="00902217">
      <w:pPr>
        <w:pStyle w:val="Arord"/>
        <w:numPr>
          <w:ilvl w:val="0"/>
          <w:numId w:val="12"/>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банківські кредити, фінансовий лізинг, запозичення (випуск облігацій);</w:t>
      </w:r>
    </w:p>
    <w:p w:rsidR="00275E65" w:rsidRDefault="00902217">
      <w:pPr>
        <w:pStyle w:val="Arord"/>
        <w:numPr>
          <w:ilvl w:val="0"/>
          <w:numId w:val="12"/>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цільові внески співвласників багатоквартирних будинків;</w:t>
      </w:r>
    </w:p>
    <w:p w:rsidR="00275E65" w:rsidRDefault="00902217">
      <w:pPr>
        <w:pStyle w:val="Arord"/>
        <w:numPr>
          <w:ilvl w:val="0"/>
          <w:numId w:val="12"/>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приватні кошти власників одно- дво- та багатоквартирних будинків</w:t>
      </w:r>
    </w:p>
    <w:p w:rsidR="00275E65" w:rsidRDefault="00902217">
      <w:pPr>
        <w:pStyle w:val="Arord"/>
        <w:numPr>
          <w:ilvl w:val="0"/>
          <w:numId w:val="12"/>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донорські гранти;</w:t>
      </w:r>
    </w:p>
    <w:p w:rsidR="00275E65" w:rsidRDefault="00902217">
      <w:pPr>
        <w:pStyle w:val="Arord"/>
        <w:numPr>
          <w:ilvl w:val="0"/>
          <w:numId w:val="12"/>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фінансове партнерство, в т.ч. за угодами про м</w:t>
      </w:r>
      <w:r>
        <w:rPr>
          <w:rFonts w:ascii="Times New Roman" w:eastAsiaTheme="minorEastAsia" w:hAnsi="Times New Roman" w:cstheme="minorHAnsi"/>
          <w:sz w:val="22"/>
        </w:rPr>
        <w:t>іжмуніципальне співробітництво</w:t>
      </w:r>
    </w:p>
    <w:p w:rsidR="00275E65" w:rsidRDefault="00902217">
      <w:pPr>
        <w:pStyle w:val="Arord"/>
        <w:numPr>
          <w:ilvl w:val="0"/>
          <w:numId w:val="12"/>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інші джерела, дозволені чинним законодавством</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Оскільки власні ресурси Носівської селищної територіальної громади обмежені та не дозволяють забезпечити масштабну реалізацію програми енергоефективності, важливу роль відіграє до</w:t>
      </w:r>
      <w:r>
        <w:rPr>
          <w:rFonts w:ascii="Times New Roman" w:eastAsiaTheme="minorEastAsia" w:hAnsi="Times New Roman" w:cstheme="minorHAnsi"/>
          <w:sz w:val="22"/>
        </w:rPr>
        <w:t>норське фінансування інфраструктурних проєктів з енергоефективності. Зокрема, це програми кредитування від Європейського банку реконструкції та розвитку, Європейського інвестиційного банку,  Північної екологічної фінансової корпорації NEFСO, фонду Східноєв</w:t>
      </w:r>
      <w:r>
        <w:rPr>
          <w:rFonts w:ascii="Times New Roman" w:eastAsiaTheme="minorEastAsia" w:hAnsi="Times New Roman" w:cstheme="minorHAnsi"/>
          <w:sz w:val="22"/>
        </w:rPr>
        <w:t>ропейського партнерства з енергоефективності та довкілля E5P, Програми фінансування СoM-DeP («Угода мерів – Демонстраційні проекти») тощо. Незважаючи на високі відсоткові ставки, навіть в українських реаліях, проєкти енергоефективності зазвичай є самоокупн</w:t>
      </w:r>
      <w:r>
        <w:rPr>
          <w:rFonts w:ascii="Times New Roman" w:eastAsiaTheme="minorEastAsia" w:hAnsi="Times New Roman" w:cstheme="minorHAnsi"/>
          <w:sz w:val="22"/>
        </w:rPr>
        <w:t xml:space="preserve">ими. </w:t>
      </w:r>
      <w:r>
        <w:rPr>
          <w:rFonts w:ascii="Times New Roman" w:eastAsiaTheme="minorEastAsia" w:hAnsi="Times New Roman" w:cstheme="minorHAnsi"/>
          <w:sz w:val="22"/>
          <w:lang w:val="ru-RU"/>
        </w:rPr>
        <w:t xml:space="preserve">В рамках програм, окрім фінансування, </w:t>
      </w:r>
      <w:r>
        <w:rPr>
          <w:rFonts w:ascii="Times New Roman" w:eastAsiaTheme="minorEastAsia" w:hAnsi="Times New Roman" w:cstheme="minorHAnsi"/>
          <w:sz w:val="22"/>
        </w:rPr>
        <w:t xml:space="preserve">Носівська громада </w:t>
      </w:r>
      <w:r>
        <w:rPr>
          <w:rFonts w:ascii="Times New Roman" w:eastAsiaTheme="minorEastAsia" w:hAnsi="Times New Roman" w:cstheme="minorHAnsi"/>
          <w:sz w:val="22"/>
          <w:lang w:val="ru-RU"/>
        </w:rPr>
        <w:t>мо</w:t>
      </w:r>
      <w:r>
        <w:rPr>
          <w:rFonts w:ascii="Times New Roman" w:eastAsiaTheme="minorEastAsia" w:hAnsi="Times New Roman" w:cstheme="minorHAnsi"/>
          <w:sz w:val="22"/>
        </w:rPr>
        <w:t xml:space="preserve">же </w:t>
      </w:r>
      <w:r>
        <w:rPr>
          <w:rFonts w:ascii="Times New Roman" w:eastAsiaTheme="minorEastAsia" w:hAnsi="Times New Roman" w:cstheme="minorHAnsi"/>
          <w:sz w:val="22"/>
          <w:lang w:val="ru-RU"/>
        </w:rPr>
        <w:t>отримати технічну та консультаційну підтримку при впровадженні про</w:t>
      </w:r>
      <w:r>
        <w:rPr>
          <w:rFonts w:ascii="Times New Roman" w:eastAsiaTheme="minorEastAsia" w:hAnsi="Times New Roman" w:cstheme="minorHAnsi"/>
          <w:sz w:val="22"/>
        </w:rPr>
        <w:t>є</w:t>
      </w:r>
      <w:r>
        <w:rPr>
          <w:rFonts w:ascii="Times New Roman" w:eastAsiaTheme="minorEastAsia" w:hAnsi="Times New Roman" w:cstheme="minorHAnsi"/>
          <w:sz w:val="22"/>
          <w:lang w:val="ru-RU"/>
        </w:rPr>
        <w:t>кт</w:t>
      </w:r>
      <w:r>
        <w:rPr>
          <w:rFonts w:ascii="Times New Roman" w:eastAsiaTheme="minorEastAsia" w:hAnsi="Times New Roman" w:cstheme="minorHAnsi"/>
          <w:sz w:val="22"/>
        </w:rPr>
        <w:t>ів</w:t>
      </w:r>
      <w:r>
        <w:rPr>
          <w:rFonts w:ascii="Times New Roman" w:eastAsiaTheme="minorEastAsia" w:hAnsi="Times New Roman" w:cstheme="minorHAnsi"/>
          <w:sz w:val="22"/>
          <w:lang w:val="ru-RU"/>
        </w:rPr>
        <w:t xml:space="preserve">. </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Одним із механізмів, який можна використати для підвищення енергоефективності Носівської ТГ є енергосервісні договор</w:t>
      </w:r>
      <w:r>
        <w:rPr>
          <w:rFonts w:ascii="Times New Roman" w:eastAsiaTheme="minorEastAsia" w:hAnsi="Times New Roman" w:cstheme="minorHAnsi"/>
          <w:sz w:val="22"/>
        </w:rPr>
        <w:t>и та співпраця з приватними інвесторами – енергосервісними компаніями (ЕСКО). Суть концепції енергосервісу полягає в тому, що енергоефективні заходи в будівлях бюджетних установ (шкіл, дитячих садочків, лікарень тощо) впроваджуються приватними інвесторами,</w:t>
      </w:r>
      <w:r>
        <w:rPr>
          <w:rFonts w:ascii="Times New Roman" w:eastAsiaTheme="minorEastAsia" w:hAnsi="Times New Roman" w:cstheme="minorHAnsi"/>
          <w:sz w:val="22"/>
        </w:rPr>
        <w:t xml:space="preserve"> а оплата здійснюється виключно за рахунок економії (скорочення витрат на споживання комунальних послуг та енергоносіїв), досягнутої в результаті здійснення енергоефективних заходів. За рахунок такої співпраці з ЕСКО виконується комплекс робіт і послуг (вс</w:t>
      </w:r>
      <w:r>
        <w:rPr>
          <w:rFonts w:ascii="Times New Roman" w:eastAsiaTheme="minorEastAsia" w:hAnsi="Times New Roman" w:cstheme="minorHAnsi"/>
          <w:sz w:val="22"/>
        </w:rPr>
        <w:t xml:space="preserve">і роботи, поставку обладнання та матеріалів енергосервісна компаніям фінансує за свій рахунок), постачається обладнання та матеріали на умовах «під ключ». В ході </w:t>
      </w:r>
      <w:r>
        <w:rPr>
          <w:rFonts w:ascii="Times New Roman" w:eastAsiaTheme="minorEastAsia" w:hAnsi="Times New Roman" w:cstheme="minorHAnsi"/>
          <w:sz w:val="22"/>
          <w:lang w:val="ru-RU"/>
        </w:rPr>
        <w:t xml:space="preserve">реалізації проєкту гарантується досягнення економії енергоресурсів для замовника, </w:t>
      </w:r>
      <w:r>
        <w:rPr>
          <w:rFonts w:ascii="Times New Roman" w:eastAsiaTheme="minorEastAsia" w:hAnsi="Times New Roman" w:cstheme="minorHAnsi"/>
          <w:sz w:val="22"/>
        </w:rPr>
        <w:t xml:space="preserve">а </w:t>
      </w:r>
      <w:r>
        <w:rPr>
          <w:rFonts w:ascii="Times New Roman" w:eastAsiaTheme="minorEastAsia" w:hAnsi="Times New Roman" w:cstheme="minorHAnsi"/>
          <w:sz w:val="22"/>
          <w:lang w:val="ru-RU"/>
        </w:rPr>
        <w:t>після заве</w:t>
      </w:r>
      <w:r>
        <w:rPr>
          <w:rFonts w:ascii="Times New Roman" w:eastAsiaTheme="minorEastAsia" w:hAnsi="Times New Roman" w:cstheme="minorHAnsi"/>
          <w:sz w:val="22"/>
          <w:lang w:val="ru-RU"/>
        </w:rPr>
        <w:t xml:space="preserve">ршення </w:t>
      </w:r>
      <w:r>
        <w:rPr>
          <w:rFonts w:ascii="Times New Roman" w:eastAsiaTheme="minorEastAsia" w:hAnsi="Times New Roman" w:cstheme="minorHAnsi"/>
          <w:sz w:val="22"/>
        </w:rPr>
        <w:t>терміну дії Д</w:t>
      </w:r>
      <w:r>
        <w:rPr>
          <w:rFonts w:ascii="Times New Roman" w:eastAsiaTheme="minorEastAsia" w:hAnsi="Times New Roman" w:cstheme="minorHAnsi"/>
          <w:sz w:val="22"/>
          <w:lang w:val="ru-RU"/>
        </w:rPr>
        <w:t>оговору устаткування та матеріали передаються на баланс замовника. Замовник в свою</w:t>
      </w:r>
      <w:r>
        <w:rPr>
          <w:rFonts w:ascii="Times New Roman" w:eastAsiaTheme="minorEastAsia" w:hAnsi="Times New Roman" w:cstheme="minorHAnsi"/>
          <w:sz w:val="22"/>
        </w:rPr>
        <w:t xml:space="preserve"> </w:t>
      </w:r>
      <w:r>
        <w:rPr>
          <w:rFonts w:ascii="Times New Roman" w:eastAsiaTheme="minorEastAsia" w:hAnsi="Times New Roman" w:cstheme="minorHAnsi"/>
          <w:sz w:val="22"/>
          <w:lang w:val="ru-RU"/>
        </w:rPr>
        <w:t>чергу, після завершення виконання робіт, щомісячно протягом терміну дії договору виплачує винагороду ЕСКО, як частку від досягненої економії (оплата здій</w:t>
      </w:r>
      <w:r>
        <w:rPr>
          <w:rFonts w:ascii="Times New Roman" w:eastAsiaTheme="minorEastAsia" w:hAnsi="Times New Roman" w:cstheme="minorHAnsi"/>
          <w:sz w:val="22"/>
          <w:lang w:val="ru-RU"/>
        </w:rPr>
        <w:t xml:space="preserve">снюється виключно за рахунок досягнутого скорочення споживання або витрат на оплату енергоресурсів). Термін дії контракту з ЕСКО може </w:t>
      </w:r>
      <w:r>
        <w:rPr>
          <w:rFonts w:ascii="Times New Roman" w:eastAsiaTheme="minorEastAsia" w:hAnsi="Times New Roman" w:cstheme="minorHAnsi"/>
          <w:sz w:val="22"/>
        </w:rPr>
        <w:t>тривати щонайдовше 1</w:t>
      </w:r>
      <w:r>
        <w:rPr>
          <w:rFonts w:ascii="Times New Roman" w:eastAsiaTheme="minorEastAsia" w:hAnsi="Times New Roman" w:cstheme="minorHAnsi"/>
          <w:sz w:val="22"/>
          <w:lang w:val="ru-RU"/>
        </w:rPr>
        <w:t>0 років.</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shd w:val="clear" w:color="auto" w:fill="FFFFFF"/>
          <w:lang w:eastAsia="uk-UA"/>
        </w:rPr>
        <w:t xml:space="preserve">Фонд енергоефективності – державна установа, яка впроваджує Програму </w:t>
      </w:r>
      <w:r>
        <w:rPr>
          <w:rFonts w:ascii="Times New Roman" w:eastAsiaTheme="minorEastAsia" w:hAnsi="Times New Roman" w:cstheme="minorHAnsi"/>
          <w:color w:val="000000"/>
          <w:sz w:val="22"/>
          <w:lang w:val="ru-RU"/>
        </w:rPr>
        <w:t>«Енергодім»</w:t>
      </w:r>
      <w:r>
        <w:rPr>
          <w:rFonts w:ascii="Times New Roman" w:eastAsiaTheme="minorEastAsia" w:hAnsi="Times New Roman" w:cstheme="minorHAnsi"/>
          <w:sz w:val="22"/>
          <w:shd w:val="clear" w:color="auto" w:fill="FFFFFF"/>
          <w:lang w:eastAsia="uk-UA"/>
        </w:rPr>
        <w:t xml:space="preserve"> для здійснен</w:t>
      </w:r>
      <w:r>
        <w:rPr>
          <w:rFonts w:ascii="Times New Roman" w:eastAsiaTheme="minorEastAsia" w:hAnsi="Times New Roman" w:cstheme="minorHAnsi"/>
          <w:sz w:val="22"/>
          <w:shd w:val="clear" w:color="auto" w:fill="FFFFFF"/>
          <w:lang w:eastAsia="uk-UA"/>
        </w:rPr>
        <w:t xml:space="preserve">ня термореновації багатоквартирних будинків з ОСББ (об’єднання співвласників багатоквартирного будинку) та </w:t>
      </w:r>
      <w:r>
        <w:rPr>
          <w:rFonts w:ascii="Times New Roman" w:eastAsiaTheme="minorEastAsia" w:hAnsi="Times New Roman" w:cstheme="minorHAnsi"/>
          <w:color w:val="000000"/>
          <w:sz w:val="22"/>
          <w:lang w:val="ru-RU"/>
        </w:rPr>
        <w:t>передбачає часткове відшкодування витрат на заходи з енергоефективності у розмірі від 40% до 70 %.</w:t>
      </w:r>
      <w:r>
        <w:rPr>
          <w:rFonts w:ascii="Times New Roman" w:eastAsiaTheme="minorEastAsia" w:hAnsi="Times New Roman" w:cstheme="minorHAnsi"/>
          <w:sz w:val="22"/>
        </w:rPr>
        <w:t xml:space="preserve"> </w:t>
      </w:r>
      <w:r>
        <w:rPr>
          <w:rFonts w:ascii="Times New Roman" w:eastAsiaTheme="minorEastAsia" w:hAnsi="Times New Roman" w:cstheme="minorHAnsi"/>
          <w:sz w:val="22"/>
          <w:lang w:eastAsia="uk-UA"/>
        </w:rPr>
        <w:t>Підтримка Фонду полягає у наданні грантів та запро</w:t>
      </w:r>
      <w:r>
        <w:rPr>
          <w:rFonts w:ascii="Times New Roman" w:eastAsiaTheme="minorEastAsia" w:hAnsi="Times New Roman" w:cstheme="minorHAnsi"/>
          <w:sz w:val="22"/>
          <w:lang w:eastAsia="uk-UA"/>
        </w:rPr>
        <w:t xml:space="preserve">вадженні комплексних технічних рішень з енергоефективності будівель з врахуванням кращих європейських практик. В результаті їх реалізації співвласники таких будівель зможуть не лише </w:t>
      </w:r>
      <w:r>
        <w:rPr>
          <w:rFonts w:ascii="Times New Roman" w:eastAsiaTheme="minorEastAsia" w:hAnsi="Times New Roman" w:cstheme="minorHAnsi"/>
          <w:sz w:val="22"/>
          <w:lang w:val="ru-RU"/>
        </w:rPr>
        <w:t>заощаджувати</w:t>
      </w:r>
      <w:r>
        <w:rPr>
          <w:rFonts w:ascii="Times New Roman" w:eastAsiaTheme="minorEastAsia" w:hAnsi="Times New Roman" w:cstheme="minorHAnsi"/>
          <w:sz w:val="22"/>
          <w:lang w:eastAsia="uk-UA"/>
        </w:rPr>
        <w:t xml:space="preserve"> кошти на комунальних послугах, а й підвищити рівень комфорту </w:t>
      </w:r>
      <w:r>
        <w:rPr>
          <w:rFonts w:ascii="Times New Roman" w:eastAsiaTheme="minorEastAsia" w:hAnsi="Times New Roman" w:cstheme="minorHAnsi"/>
          <w:sz w:val="22"/>
          <w:lang w:eastAsia="uk-UA"/>
        </w:rPr>
        <w:t xml:space="preserve">і якості свого життя. Діяльність Фонду фінансується за рахунок коштів Держбюджету України, фінансової підтримки ЄС та уряду Німеччини. </w:t>
      </w:r>
      <w:r>
        <w:rPr>
          <w:rFonts w:ascii="Times New Roman" w:eastAsiaTheme="minorEastAsia" w:hAnsi="Times New Roman" w:cstheme="minorHAnsi"/>
          <w:sz w:val="22"/>
        </w:rPr>
        <w:t>Програма Фонду енергоефективності реалізовується у співпраці з Міжнародною фінансовою корпорацією – IFC та Deutsche Gesel</w:t>
      </w:r>
      <w:r>
        <w:rPr>
          <w:rFonts w:ascii="Times New Roman" w:eastAsiaTheme="minorEastAsia" w:hAnsi="Times New Roman" w:cstheme="minorHAnsi"/>
          <w:sz w:val="22"/>
        </w:rPr>
        <w:t xml:space="preserve">lschaft für Internationale Zusammenarbeit (GIZ) GmbH . </w:t>
      </w:r>
    </w:p>
    <w:p w:rsidR="00275E65" w:rsidRDefault="00275E65">
      <w:pPr>
        <w:pStyle w:val="Arord"/>
        <w:tabs>
          <w:tab w:val="left" w:pos="709"/>
        </w:tabs>
        <w:spacing w:after="0" w:line="276" w:lineRule="auto"/>
        <w:ind w:firstLine="567"/>
        <w:rPr>
          <w:rFonts w:ascii="Times New Roman" w:eastAsia="Times New Roman" w:hAnsi="Times New Roman" w:cs="Times New Roman"/>
          <w:sz w:val="22"/>
        </w:rPr>
      </w:pPr>
    </w:p>
    <w:p w:rsidR="00275E65" w:rsidRDefault="00902217">
      <w:pPr>
        <w:pStyle w:val="ArHead2"/>
        <w:tabs>
          <w:tab w:val="left" w:pos="709"/>
        </w:tabs>
        <w:spacing w:after="0" w:line="276" w:lineRule="auto"/>
        <w:ind w:firstLine="567"/>
        <w:rPr>
          <w:rFonts w:ascii="Times New Roman" w:hAnsi="Times New Roman" w:cs="Times New Roman"/>
          <w:sz w:val="22"/>
          <w:lang w:val="ru-RU"/>
        </w:rPr>
      </w:pPr>
      <w:bookmarkStart w:id="191" w:name="_Toc168064824"/>
      <w:r>
        <w:rPr>
          <w:rFonts w:ascii="Times New Roman" w:eastAsiaTheme="minorEastAsia" w:hAnsi="Times New Roman" w:cstheme="minorHAnsi"/>
          <w:sz w:val="22"/>
        </w:rPr>
        <w:t>Орієнтовний календарний план реалізації проєктів сталого енергетичного розвитку на період енергетичного плану із зазначенням кількісних показників по роках;</w:t>
      </w:r>
      <w:bookmarkEnd w:id="191"/>
    </w:p>
    <w:p w:rsidR="00275E65" w:rsidRDefault="00275E65">
      <w:pPr>
        <w:pStyle w:val="aff0"/>
        <w:tabs>
          <w:tab w:val="left" w:pos="709"/>
          <w:tab w:val="left" w:pos="851"/>
          <w:tab w:val="left" w:pos="1418"/>
        </w:tabs>
        <w:spacing w:after="0" w:line="276" w:lineRule="auto"/>
        <w:ind w:left="0" w:firstLine="567"/>
        <w:jc w:val="both"/>
        <w:rPr>
          <w:rFonts w:ascii="Times New Roman" w:eastAsia="Times New Roman" w:hAnsi="Times New Roman" w:cs="Times New Roman"/>
          <w:lang w:val="uk-UA"/>
        </w:rPr>
      </w:pPr>
    </w:p>
    <w:p w:rsidR="00275E65" w:rsidRDefault="00902217">
      <w:pPr>
        <w:shd w:val="clear" w:color="auto" w:fill="FFFFFF"/>
        <w:tabs>
          <w:tab w:val="left" w:pos="709"/>
        </w:tabs>
        <w:spacing w:after="0" w:line="276" w:lineRule="auto"/>
        <w:ind w:firstLine="567"/>
        <w:jc w:val="both"/>
        <w:rPr>
          <w:rFonts w:ascii="Times New Roman" w:hAnsi="Times New Roman" w:cs="Times New Roman"/>
          <w:lang w:val="ru-RU"/>
        </w:rPr>
      </w:pPr>
      <w:r>
        <w:rPr>
          <w:rFonts w:ascii="Times New Roman" w:eastAsiaTheme="minorEastAsia" w:hAnsi="Times New Roman" w:cstheme="minorHAnsi"/>
          <w:b/>
          <w:lang w:val="uk-UA"/>
        </w:rPr>
        <w:t>Роки впровадження:2024-2030 роки</w:t>
      </w:r>
    </w:p>
    <w:p w:rsidR="00275E65" w:rsidRDefault="00902217">
      <w:pPr>
        <w:shd w:val="clear" w:color="auto" w:fill="FFFFFF"/>
        <w:tabs>
          <w:tab w:val="left" w:pos="709"/>
        </w:tabs>
        <w:spacing w:after="0" w:line="276" w:lineRule="auto"/>
        <w:ind w:firstLine="567"/>
        <w:jc w:val="both"/>
        <w:rPr>
          <w:rFonts w:ascii="Times New Roman" w:hAnsi="Times New Roman" w:cs="Times New Roman"/>
          <w:lang w:val="ru-RU"/>
        </w:rPr>
      </w:pPr>
      <w:r>
        <w:rPr>
          <w:rFonts w:ascii="Times New Roman" w:eastAsiaTheme="minorEastAsia" w:hAnsi="Times New Roman" w:cstheme="minorHAnsi"/>
          <w:b/>
          <w:lang w:val="uk-UA"/>
        </w:rPr>
        <w:t>Загальні інвестиції:  ______ млн.грн</w:t>
      </w:r>
    </w:p>
    <w:p w:rsidR="00275E65" w:rsidRDefault="00902217">
      <w:pPr>
        <w:shd w:val="clear" w:color="auto" w:fill="FFFFFF"/>
        <w:tabs>
          <w:tab w:val="left" w:pos="709"/>
        </w:tabs>
        <w:spacing w:after="0" w:line="276" w:lineRule="auto"/>
        <w:ind w:firstLine="567"/>
        <w:jc w:val="both"/>
        <w:rPr>
          <w:rFonts w:ascii="Times New Roman" w:hAnsi="Times New Roman" w:cs="Times New Roman"/>
          <w:lang w:val="ru-RU"/>
        </w:rPr>
      </w:pPr>
      <w:r>
        <w:rPr>
          <w:rFonts w:ascii="Times New Roman" w:eastAsiaTheme="minorEastAsia" w:hAnsi="Times New Roman" w:cstheme="minorHAnsi"/>
          <w:b/>
          <w:lang w:val="uk-UA"/>
        </w:rPr>
        <w:t xml:space="preserve">Очікувані джерела фінансування: </w:t>
      </w:r>
      <w:r>
        <w:rPr>
          <w:rFonts w:ascii="Times New Roman" w:eastAsiaTheme="minorEastAsia" w:hAnsi="Times New Roman" w:cstheme="minorHAnsi"/>
          <w:color w:val="000000"/>
          <w:lang w:val="ru-RU" w:eastAsia="it-IT"/>
        </w:rPr>
        <w:t>кошти державного, обласного та місцевого бюджетів, донорів</w:t>
      </w:r>
      <w:r>
        <w:rPr>
          <w:rFonts w:ascii="Times New Roman" w:eastAsiaTheme="minorEastAsia" w:hAnsi="Times New Roman" w:cstheme="minorHAnsi"/>
          <w:color w:val="000000"/>
          <w:lang w:val="uk-UA" w:eastAsia="it-IT"/>
        </w:rPr>
        <w:t xml:space="preserve"> та спонсорів.</w:t>
      </w:r>
    </w:p>
    <w:tbl>
      <w:tblPr>
        <w:tblStyle w:val="aff4"/>
        <w:tblW w:w="9634" w:type="dxa"/>
        <w:tblLayout w:type="fixed"/>
        <w:tblLook w:val="04A0" w:firstRow="1" w:lastRow="0" w:firstColumn="1" w:lastColumn="0" w:noHBand="0" w:noVBand="1"/>
      </w:tblPr>
      <w:tblGrid>
        <w:gridCol w:w="5240"/>
        <w:gridCol w:w="709"/>
        <w:gridCol w:w="709"/>
        <w:gridCol w:w="567"/>
        <w:gridCol w:w="708"/>
        <w:gridCol w:w="567"/>
        <w:gridCol w:w="567"/>
        <w:gridCol w:w="567"/>
      </w:tblGrid>
      <w:tr w:rsidR="00275E65">
        <w:trPr>
          <w:trHeight w:val="431"/>
        </w:trPr>
        <w:tc>
          <w:tcPr>
            <w:tcW w:w="5240" w:type="dxa"/>
            <w:vMerge w:val="restart"/>
          </w:tcPr>
          <w:p w:rsidR="00275E65" w:rsidRDefault="00902217">
            <w:pPr>
              <w:tabs>
                <w:tab w:val="left" w:pos="709"/>
              </w:tabs>
              <w:spacing w:after="0" w:line="276" w:lineRule="auto"/>
              <w:ind w:firstLine="567"/>
              <w:jc w:val="both"/>
              <w:rPr>
                <w:rFonts w:ascii="Times New Roman" w:eastAsia="Calibri" w:hAnsi="Times New Roman" w:cs="Times New Roman"/>
                <w:b/>
                <w:sz w:val="16"/>
                <w:szCs w:val="16"/>
                <w:lang w:val="uk-UA"/>
              </w:rPr>
            </w:pPr>
            <w:r>
              <w:rPr>
                <w:rFonts w:ascii="Times New Roman" w:eastAsia="Calibri" w:hAnsi="Times New Roman" w:cs="Times New Roman"/>
                <w:b/>
                <w:sz w:val="16"/>
                <w:szCs w:val="16"/>
                <w:lang w:val="uk-UA"/>
              </w:rPr>
              <w:t xml:space="preserve">Назва проєкту </w:t>
            </w:r>
          </w:p>
        </w:tc>
        <w:tc>
          <w:tcPr>
            <w:tcW w:w="4394" w:type="dxa"/>
            <w:gridSpan w:val="7"/>
          </w:tcPr>
          <w:p w:rsidR="00275E65" w:rsidRDefault="00902217">
            <w:pPr>
              <w:tabs>
                <w:tab w:val="left" w:pos="709"/>
              </w:tabs>
              <w:spacing w:after="0" w:line="276" w:lineRule="auto"/>
              <w:ind w:firstLine="567"/>
              <w:jc w:val="center"/>
              <w:rPr>
                <w:rFonts w:ascii="Times New Roman" w:eastAsia="Calibri" w:hAnsi="Times New Roman" w:cs="Times New Roman"/>
                <w:b/>
                <w:sz w:val="16"/>
                <w:szCs w:val="16"/>
                <w:lang w:val="uk-UA"/>
              </w:rPr>
            </w:pPr>
            <w:r>
              <w:rPr>
                <w:rFonts w:ascii="Times New Roman" w:eastAsia="Calibri" w:hAnsi="Times New Roman" w:cs="Times New Roman"/>
                <w:b/>
                <w:sz w:val="16"/>
                <w:szCs w:val="16"/>
                <w:lang w:val="uk-UA"/>
              </w:rPr>
              <w:t>Рік реалізації проєкту</w:t>
            </w:r>
          </w:p>
        </w:tc>
      </w:tr>
      <w:tr w:rsidR="00275E65">
        <w:trPr>
          <w:trHeight w:val="167"/>
        </w:trPr>
        <w:tc>
          <w:tcPr>
            <w:tcW w:w="5240" w:type="dxa"/>
            <w:vMerge/>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709" w:type="dxa"/>
            <w:vAlign w:val="center"/>
          </w:tcPr>
          <w:p w:rsidR="00275E65" w:rsidRDefault="00902217">
            <w:pPr>
              <w:tabs>
                <w:tab w:val="left" w:pos="709"/>
              </w:tabs>
              <w:spacing w:after="0" w:line="276" w:lineRule="auto"/>
              <w:jc w:val="center"/>
              <w:rPr>
                <w:rFonts w:ascii="Times New Roman" w:eastAsia="Calibri" w:hAnsi="Times New Roman" w:cs="Times New Roman"/>
                <w:b/>
                <w:sz w:val="16"/>
                <w:szCs w:val="16"/>
                <w:lang w:val="uk-UA"/>
              </w:rPr>
            </w:pPr>
            <w:r>
              <w:rPr>
                <w:rFonts w:ascii="Times New Roman" w:eastAsia="Calibri" w:hAnsi="Times New Roman" w:cs="Times New Roman"/>
                <w:b/>
                <w:sz w:val="16"/>
                <w:szCs w:val="16"/>
                <w:lang w:val="uk-UA"/>
              </w:rPr>
              <w:t>2024</w:t>
            </w:r>
          </w:p>
        </w:tc>
        <w:tc>
          <w:tcPr>
            <w:tcW w:w="709" w:type="dxa"/>
            <w:vAlign w:val="center"/>
          </w:tcPr>
          <w:p w:rsidR="00275E65" w:rsidRDefault="00902217">
            <w:pPr>
              <w:tabs>
                <w:tab w:val="left" w:pos="709"/>
              </w:tabs>
              <w:spacing w:after="0" w:line="276" w:lineRule="auto"/>
              <w:jc w:val="center"/>
              <w:rPr>
                <w:rFonts w:ascii="Times New Roman" w:eastAsia="Calibri" w:hAnsi="Times New Roman" w:cs="Times New Roman"/>
                <w:b/>
                <w:sz w:val="16"/>
                <w:szCs w:val="16"/>
                <w:lang w:val="uk-UA"/>
              </w:rPr>
            </w:pPr>
            <w:r>
              <w:rPr>
                <w:rFonts w:ascii="Times New Roman" w:eastAsia="Calibri" w:hAnsi="Times New Roman" w:cs="Times New Roman"/>
                <w:b/>
                <w:sz w:val="16"/>
                <w:szCs w:val="16"/>
                <w:lang w:val="uk-UA"/>
              </w:rPr>
              <w:t>2025</w:t>
            </w:r>
          </w:p>
        </w:tc>
        <w:tc>
          <w:tcPr>
            <w:tcW w:w="567" w:type="dxa"/>
            <w:vAlign w:val="center"/>
          </w:tcPr>
          <w:p w:rsidR="00275E65" w:rsidRDefault="00902217">
            <w:pPr>
              <w:tabs>
                <w:tab w:val="left" w:pos="709"/>
              </w:tabs>
              <w:spacing w:after="0" w:line="276" w:lineRule="auto"/>
              <w:jc w:val="center"/>
              <w:rPr>
                <w:rFonts w:ascii="Times New Roman" w:eastAsia="Calibri" w:hAnsi="Times New Roman" w:cs="Times New Roman"/>
                <w:b/>
                <w:sz w:val="16"/>
                <w:szCs w:val="16"/>
                <w:lang w:val="uk-UA"/>
              </w:rPr>
            </w:pPr>
            <w:r>
              <w:rPr>
                <w:rFonts w:ascii="Times New Roman" w:eastAsia="Calibri" w:hAnsi="Times New Roman" w:cs="Times New Roman"/>
                <w:b/>
                <w:sz w:val="16"/>
                <w:szCs w:val="16"/>
                <w:lang w:val="uk-UA"/>
              </w:rPr>
              <w:t>2026</w:t>
            </w:r>
          </w:p>
        </w:tc>
        <w:tc>
          <w:tcPr>
            <w:tcW w:w="708" w:type="dxa"/>
            <w:vAlign w:val="center"/>
          </w:tcPr>
          <w:p w:rsidR="00275E65" w:rsidRDefault="00902217">
            <w:pPr>
              <w:tabs>
                <w:tab w:val="left" w:pos="709"/>
              </w:tabs>
              <w:spacing w:after="0" w:line="276" w:lineRule="auto"/>
              <w:jc w:val="center"/>
              <w:rPr>
                <w:rFonts w:ascii="Times New Roman" w:eastAsia="Calibri" w:hAnsi="Times New Roman" w:cs="Times New Roman"/>
                <w:b/>
                <w:sz w:val="16"/>
                <w:szCs w:val="16"/>
                <w:lang w:val="uk-UA"/>
              </w:rPr>
            </w:pPr>
            <w:r>
              <w:rPr>
                <w:rFonts w:ascii="Times New Roman" w:eastAsia="Calibri" w:hAnsi="Times New Roman" w:cs="Times New Roman"/>
                <w:b/>
                <w:sz w:val="16"/>
                <w:szCs w:val="16"/>
                <w:lang w:val="uk-UA"/>
              </w:rPr>
              <w:t>2027</w:t>
            </w:r>
          </w:p>
        </w:tc>
        <w:tc>
          <w:tcPr>
            <w:tcW w:w="567" w:type="dxa"/>
            <w:vAlign w:val="center"/>
          </w:tcPr>
          <w:p w:rsidR="00275E65" w:rsidRDefault="00902217">
            <w:pPr>
              <w:tabs>
                <w:tab w:val="left" w:pos="709"/>
              </w:tabs>
              <w:spacing w:after="0" w:line="276" w:lineRule="auto"/>
              <w:jc w:val="center"/>
              <w:rPr>
                <w:rFonts w:ascii="Times New Roman" w:eastAsia="Calibri" w:hAnsi="Times New Roman" w:cs="Times New Roman"/>
                <w:b/>
                <w:sz w:val="16"/>
                <w:szCs w:val="16"/>
                <w:lang w:val="uk-UA"/>
              </w:rPr>
            </w:pPr>
            <w:r>
              <w:rPr>
                <w:rFonts w:ascii="Times New Roman" w:eastAsia="Calibri" w:hAnsi="Times New Roman" w:cs="Times New Roman"/>
                <w:b/>
                <w:sz w:val="16"/>
                <w:szCs w:val="16"/>
                <w:lang w:val="uk-UA"/>
              </w:rPr>
              <w:t>2028</w:t>
            </w:r>
          </w:p>
        </w:tc>
        <w:tc>
          <w:tcPr>
            <w:tcW w:w="567" w:type="dxa"/>
            <w:vAlign w:val="center"/>
          </w:tcPr>
          <w:p w:rsidR="00275E65" w:rsidRDefault="00902217">
            <w:pPr>
              <w:tabs>
                <w:tab w:val="left" w:pos="709"/>
              </w:tabs>
              <w:spacing w:after="0" w:line="276" w:lineRule="auto"/>
              <w:jc w:val="center"/>
              <w:rPr>
                <w:rFonts w:ascii="Times New Roman" w:eastAsia="Calibri" w:hAnsi="Times New Roman" w:cs="Times New Roman"/>
                <w:b/>
                <w:sz w:val="16"/>
                <w:szCs w:val="16"/>
                <w:lang w:val="uk-UA"/>
              </w:rPr>
            </w:pPr>
            <w:r>
              <w:rPr>
                <w:rFonts w:ascii="Times New Roman" w:eastAsia="Calibri" w:hAnsi="Times New Roman" w:cs="Times New Roman"/>
                <w:b/>
                <w:sz w:val="16"/>
                <w:szCs w:val="16"/>
                <w:lang w:val="uk-UA"/>
              </w:rPr>
              <w:t>2029</w:t>
            </w:r>
          </w:p>
        </w:tc>
        <w:tc>
          <w:tcPr>
            <w:tcW w:w="567" w:type="dxa"/>
            <w:vAlign w:val="center"/>
          </w:tcPr>
          <w:p w:rsidR="00275E65" w:rsidRDefault="00902217">
            <w:pPr>
              <w:tabs>
                <w:tab w:val="left" w:pos="709"/>
              </w:tabs>
              <w:spacing w:after="0" w:line="276" w:lineRule="auto"/>
              <w:jc w:val="center"/>
              <w:rPr>
                <w:rFonts w:ascii="Times New Roman" w:eastAsia="Calibri" w:hAnsi="Times New Roman" w:cs="Times New Roman"/>
                <w:b/>
                <w:sz w:val="16"/>
                <w:szCs w:val="16"/>
                <w:lang w:val="uk-UA"/>
              </w:rPr>
            </w:pPr>
            <w:r>
              <w:rPr>
                <w:rFonts w:ascii="Times New Roman" w:eastAsia="Calibri" w:hAnsi="Times New Roman" w:cs="Times New Roman"/>
                <w:b/>
                <w:sz w:val="16"/>
                <w:szCs w:val="16"/>
                <w:lang w:val="uk-UA"/>
              </w:rPr>
              <w:t>2030</w:t>
            </w:r>
          </w:p>
        </w:tc>
      </w:tr>
      <w:tr w:rsidR="00275E65">
        <w:tc>
          <w:tcPr>
            <w:tcW w:w="5240"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sz w:val="16"/>
                <w:szCs w:val="16"/>
                <w:lang w:val="uk-UA"/>
              </w:rPr>
            </w:pPr>
          </w:p>
        </w:tc>
        <w:tc>
          <w:tcPr>
            <w:tcW w:w="709"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709"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708"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r>
      <w:tr w:rsidR="00275E65">
        <w:tc>
          <w:tcPr>
            <w:tcW w:w="5240"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sz w:val="16"/>
                <w:szCs w:val="16"/>
                <w:lang w:val="uk-UA"/>
              </w:rPr>
            </w:pPr>
          </w:p>
        </w:tc>
        <w:tc>
          <w:tcPr>
            <w:tcW w:w="709"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709"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708"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r>
      <w:tr w:rsidR="00275E65">
        <w:tc>
          <w:tcPr>
            <w:tcW w:w="5240"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sz w:val="16"/>
                <w:szCs w:val="16"/>
                <w:lang w:val="uk-UA"/>
              </w:rPr>
            </w:pPr>
          </w:p>
        </w:tc>
        <w:tc>
          <w:tcPr>
            <w:tcW w:w="709"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709"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708"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r>
      <w:tr w:rsidR="00275E65">
        <w:tc>
          <w:tcPr>
            <w:tcW w:w="5240"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sz w:val="16"/>
                <w:szCs w:val="16"/>
                <w:lang w:val="uk-UA"/>
              </w:rPr>
            </w:pPr>
          </w:p>
        </w:tc>
        <w:tc>
          <w:tcPr>
            <w:tcW w:w="709"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709"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708"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r>
      <w:tr w:rsidR="00275E65">
        <w:tc>
          <w:tcPr>
            <w:tcW w:w="5240"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sz w:val="16"/>
                <w:szCs w:val="16"/>
                <w:lang w:val="uk-UA"/>
              </w:rPr>
            </w:pPr>
          </w:p>
        </w:tc>
        <w:tc>
          <w:tcPr>
            <w:tcW w:w="709"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709"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708"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c>
          <w:tcPr>
            <w:tcW w:w="567" w:type="dxa"/>
            <w:shd w:val="clear" w:color="auto" w:fill="auto"/>
          </w:tcPr>
          <w:p w:rsidR="00275E65" w:rsidRDefault="00275E65">
            <w:pPr>
              <w:tabs>
                <w:tab w:val="left" w:pos="709"/>
              </w:tabs>
              <w:spacing w:after="0" w:line="276" w:lineRule="auto"/>
              <w:ind w:firstLine="567"/>
              <w:jc w:val="both"/>
              <w:rPr>
                <w:rFonts w:ascii="Times New Roman" w:eastAsia="Calibri" w:hAnsi="Times New Roman" w:cs="Times New Roman"/>
                <w:b/>
                <w:sz w:val="16"/>
                <w:szCs w:val="16"/>
                <w:lang w:val="uk-UA"/>
              </w:rPr>
            </w:pPr>
          </w:p>
        </w:tc>
      </w:tr>
    </w:tbl>
    <w:p w:rsidR="00275E65" w:rsidRDefault="00275E65">
      <w:pPr>
        <w:shd w:val="clear" w:color="auto" w:fill="FFFFFF"/>
        <w:tabs>
          <w:tab w:val="left" w:pos="709"/>
        </w:tabs>
        <w:spacing w:after="0" w:line="276" w:lineRule="auto"/>
        <w:ind w:firstLine="567"/>
        <w:jc w:val="both"/>
        <w:rPr>
          <w:rFonts w:ascii="Times New Roman" w:hAnsi="Times New Roman" w:cs="Times New Roman"/>
          <w:b/>
          <w:lang w:val="uk-UA"/>
        </w:rPr>
      </w:pPr>
    </w:p>
    <w:p w:rsidR="00275E65" w:rsidRDefault="00275E65">
      <w:pPr>
        <w:pStyle w:val="aff0"/>
        <w:tabs>
          <w:tab w:val="left" w:pos="709"/>
          <w:tab w:val="left" w:pos="851"/>
          <w:tab w:val="left" w:pos="1418"/>
        </w:tabs>
        <w:spacing w:after="0" w:line="276" w:lineRule="auto"/>
        <w:ind w:left="0" w:firstLine="567"/>
        <w:jc w:val="both"/>
        <w:rPr>
          <w:rFonts w:ascii="Times New Roman" w:eastAsia="Times New Roman" w:hAnsi="Times New Roman" w:cs="Times New Roman"/>
          <w:lang w:val="uk-UA"/>
        </w:rPr>
      </w:pPr>
    </w:p>
    <w:p w:rsidR="00275E65" w:rsidRDefault="00902217">
      <w:pPr>
        <w:pStyle w:val="ArHead2"/>
        <w:tabs>
          <w:tab w:val="left" w:pos="709"/>
        </w:tabs>
        <w:spacing w:after="0" w:line="276" w:lineRule="auto"/>
        <w:ind w:firstLine="567"/>
        <w:rPr>
          <w:rFonts w:ascii="Times New Roman" w:hAnsi="Times New Roman" w:cs="Times New Roman"/>
          <w:sz w:val="22"/>
        </w:rPr>
      </w:pPr>
      <w:bookmarkStart w:id="192" w:name="_Toc168064825"/>
      <w:r>
        <w:rPr>
          <w:rFonts w:ascii="Times New Roman" w:eastAsiaTheme="minorEastAsia" w:hAnsi="Times New Roman" w:cstheme="minorHAnsi"/>
          <w:sz w:val="22"/>
        </w:rPr>
        <w:t>Основні потенційні внутрішні і зовнішні ризики при виконанні муніципального енергетичного плану та реалізації проєктів сталого енергетичного розвитку, та можливих дій щодо зниження визначених ризиків;</w:t>
      </w:r>
      <w:bookmarkEnd w:id="192"/>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lang w:eastAsia="uk-UA"/>
        </w:rPr>
        <w:t xml:space="preserve">При підготовці проєкту Носівською міською </w:t>
      </w:r>
      <w:r>
        <w:rPr>
          <w:rFonts w:ascii="Times New Roman" w:eastAsiaTheme="minorEastAsia" w:hAnsi="Times New Roman" w:cstheme="minorHAnsi"/>
          <w:sz w:val="22"/>
          <w:lang w:eastAsia="uk-UA"/>
        </w:rPr>
        <w:t>радою було враховано такі припущення: завершення війни/скасування воєнного стану в Україні; відносна політична/соціальна стабільність в Україні; належне функціонування фінансової системи; відсутність форс-мажорних обставин, що можуть утруднити або унеможли</w:t>
      </w:r>
      <w:r>
        <w:rPr>
          <w:rFonts w:ascii="Times New Roman" w:eastAsiaTheme="minorEastAsia" w:hAnsi="Times New Roman" w:cstheme="minorHAnsi"/>
          <w:sz w:val="22"/>
          <w:lang w:eastAsia="uk-UA"/>
        </w:rPr>
        <w:t>вити реалізацію проєктів сталого енергетичного розвитку.</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eastAsia="uk-UA"/>
        </w:rPr>
        <w:t>Водночас було визначено та проаналізовано потенційні ризики, що можуть вплинути на виконання МЕПу, чи на досягнення запланованих результатів проєктів сталого енергшетичного розвитку:</w:t>
      </w:r>
    </w:p>
    <w:p w:rsidR="00275E65" w:rsidRDefault="00902217">
      <w:pPr>
        <w:pStyle w:val="Arord"/>
        <w:tabs>
          <w:tab w:val="left" w:pos="709"/>
        </w:tabs>
        <w:spacing w:after="0" w:line="276" w:lineRule="auto"/>
        <w:ind w:firstLine="567"/>
        <w:rPr>
          <w:rFonts w:ascii="Times New Roman" w:hAnsi="Times New Roman" w:cs="Times New Roman"/>
          <w:b/>
          <w:bCs/>
          <w:sz w:val="22"/>
        </w:rPr>
      </w:pPr>
      <w:r>
        <w:rPr>
          <w:rFonts w:ascii="Times New Roman" w:eastAsiaTheme="minorEastAsia" w:hAnsi="Times New Roman" w:cstheme="minorHAnsi"/>
          <w:b/>
          <w:bCs/>
          <w:sz w:val="22"/>
        </w:rPr>
        <w:t xml:space="preserve">а) внутрішнього </w:t>
      </w:r>
      <w:r>
        <w:rPr>
          <w:rFonts w:ascii="Times New Roman" w:eastAsiaTheme="minorEastAsia" w:hAnsi="Times New Roman" w:cstheme="minorHAnsi"/>
          <w:b/>
          <w:bCs/>
          <w:sz w:val="22"/>
        </w:rPr>
        <w:t>характеру:</w:t>
      </w:r>
    </w:p>
    <w:p w:rsidR="00275E65" w:rsidRDefault="00902217">
      <w:pPr>
        <w:pStyle w:val="Arord"/>
        <w:numPr>
          <w:ilvl w:val="0"/>
          <w:numId w:val="13"/>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неправильна оцінка (як правило, переоцінка) /відсутність наявних власних ресурсів (організаційно-кадрових, матеріально-технічних та фінансових);</w:t>
      </w:r>
    </w:p>
    <w:p w:rsidR="00275E65" w:rsidRDefault="00902217">
      <w:pPr>
        <w:pStyle w:val="Arord"/>
        <w:numPr>
          <w:ilvl w:val="0"/>
          <w:numId w:val="13"/>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мобілізація персоналу/виконавців будівельних робіт (переважно чоловіків) до Збройних Сил України;</w:t>
      </w:r>
    </w:p>
    <w:p w:rsidR="00275E65" w:rsidRDefault="00902217">
      <w:pPr>
        <w:pStyle w:val="Arord"/>
        <w:numPr>
          <w:ilvl w:val="0"/>
          <w:numId w:val="13"/>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со</w:t>
      </w:r>
      <w:r>
        <w:rPr>
          <w:rFonts w:ascii="Times New Roman" w:eastAsiaTheme="minorEastAsia" w:hAnsi="Times New Roman" w:cstheme="minorHAnsi"/>
          <w:sz w:val="22"/>
        </w:rPr>
        <w:t>ціальна нестабільність, зумовлена вторгненням російської федерації та некономічними проблемами;</w:t>
      </w:r>
    </w:p>
    <w:p w:rsidR="00275E65" w:rsidRDefault="00902217">
      <w:pPr>
        <w:pStyle w:val="Arord"/>
        <w:numPr>
          <w:ilvl w:val="0"/>
          <w:numId w:val="13"/>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помилки при розробці ПКД та/або технології виконання робіт;</w:t>
      </w:r>
    </w:p>
    <w:p w:rsidR="00275E65" w:rsidRDefault="00902217">
      <w:pPr>
        <w:pStyle w:val="Arord"/>
        <w:numPr>
          <w:ilvl w:val="0"/>
          <w:numId w:val="13"/>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неуспішні закупівлі, оскарження умов та результатів публічних закупівель;</w:t>
      </w:r>
    </w:p>
    <w:p w:rsidR="00275E65" w:rsidRDefault="00902217">
      <w:pPr>
        <w:pStyle w:val="Arord"/>
        <w:numPr>
          <w:ilvl w:val="0"/>
          <w:numId w:val="13"/>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неналежна комунікація/коор</w:t>
      </w:r>
      <w:r>
        <w:rPr>
          <w:rFonts w:ascii="Times New Roman" w:eastAsiaTheme="minorEastAsia" w:hAnsi="Times New Roman" w:cstheme="minorHAnsi"/>
          <w:sz w:val="22"/>
        </w:rPr>
        <w:t>динація дій між організаціями, що залучаються до проєкту;</w:t>
      </w:r>
    </w:p>
    <w:p w:rsidR="00275E65" w:rsidRDefault="00902217">
      <w:pPr>
        <w:pStyle w:val="Arord"/>
        <w:numPr>
          <w:ilvl w:val="0"/>
          <w:numId w:val="13"/>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 xml:space="preserve">недотримання графіку виконання проєкту підрядними організаціями; </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rPr>
        <w:t xml:space="preserve">б) </w:t>
      </w:r>
      <w:r>
        <w:rPr>
          <w:rFonts w:ascii="Times New Roman" w:eastAsiaTheme="minorEastAsia" w:hAnsi="Times New Roman" w:cstheme="minorHAnsi"/>
          <w:b/>
          <w:sz w:val="22"/>
          <w:lang w:val="ru-RU"/>
        </w:rPr>
        <w:t>зовнішнього характеру:</w:t>
      </w:r>
    </w:p>
    <w:p w:rsidR="00275E65" w:rsidRDefault="00902217">
      <w:pPr>
        <w:pStyle w:val="Arord"/>
        <w:numPr>
          <w:ilvl w:val="0"/>
          <w:numId w:val="14"/>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 xml:space="preserve">продовження військової агресії російської федерації проти України, обмежувальні заходи, зумовлені воєнним </w:t>
      </w:r>
      <w:r>
        <w:rPr>
          <w:rFonts w:ascii="Times New Roman" w:eastAsiaTheme="minorEastAsia" w:hAnsi="Times New Roman" w:cstheme="minorHAnsi"/>
          <w:sz w:val="22"/>
        </w:rPr>
        <w:t>станом;</w:t>
      </w:r>
    </w:p>
    <w:p w:rsidR="00275E65" w:rsidRDefault="00902217">
      <w:pPr>
        <w:pStyle w:val="Arord"/>
        <w:numPr>
          <w:ilvl w:val="0"/>
          <w:numId w:val="14"/>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несприятливі метеорологічні умови, стихійні лиха, надзвичайні екологічні ситуації, пандемії;</w:t>
      </w:r>
    </w:p>
    <w:p w:rsidR="00275E65" w:rsidRDefault="00902217">
      <w:pPr>
        <w:pStyle w:val="Arord"/>
        <w:numPr>
          <w:ilvl w:val="0"/>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припинення державного або донорського фінансування;</w:t>
      </w:r>
    </w:p>
    <w:p w:rsidR="00275E65" w:rsidRDefault="00902217">
      <w:pPr>
        <w:pStyle w:val="Arord"/>
        <w:numPr>
          <w:ilvl w:val="0"/>
          <w:numId w:val="14"/>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 xml:space="preserve">зміна законодавства України у сфері будівництва, дозвільно </w:t>
      </w:r>
      <w:r>
        <w:rPr>
          <w:rFonts w:ascii="Times New Roman" w:eastAsiaTheme="minorEastAsia" w:hAnsi="Times New Roman" w:cstheme="minorHAnsi"/>
          <w:sz w:val="22"/>
        </w:rPr>
        <w:t>погоджувальних процедур та місцевого самоврядування, що ускладнюють, чи унеможливлюють виконання проєктів;</w:t>
      </w:r>
    </w:p>
    <w:p w:rsidR="00275E65" w:rsidRDefault="00902217">
      <w:pPr>
        <w:pStyle w:val="Arord"/>
        <w:numPr>
          <w:ilvl w:val="0"/>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високий рівень інфляції та зростання цін;</w:t>
      </w:r>
    </w:p>
    <w:p w:rsidR="00275E65" w:rsidRDefault="00902217">
      <w:pPr>
        <w:pStyle w:val="Arord"/>
        <w:numPr>
          <w:ilvl w:val="0"/>
          <w:numId w:val="14"/>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низький інтерес/недостатнє розуміння місцевими мешканцями цілей та завдань МЕПу.</w:t>
      </w:r>
    </w:p>
    <w:p w:rsidR="00275E65" w:rsidRDefault="00902217">
      <w:pPr>
        <w:pStyle w:val="Arord"/>
        <w:numPr>
          <w:ilvl w:val="0"/>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спротив громадськості прот</w:t>
      </w:r>
      <w:r>
        <w:rPr>
          <w:rFonts w:ascii="Times New Roman" w:eastAsiaTheme="minorEastAsia" w:hAnsi="Times New Roman" w:cstheme="minorHAnsi"/>
          <w:sz w:val="22"/>
        </w:rPr>
        <w:t>и реалізації проєктів з використанням ВДЕ (будівництво ГЕС, влаштування вітряків та ін.)</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Ймовірність настання даних ризиків є переважно середньою. При цьому лише економічні ризики ймовірно матимуть суттєвий вплив, тоді як вплив фізичних, політичних та екол</w:t>
      </w:r>
      <w:r>
        <w:rPr>
          <w:rFonts w:ascii="Times New Roman" w:eastAsiaTheme="minorEastAsia" w:hAnsi="Times New Roman" w:cstheme="minorHAnsi"/>
          <w:sz w:val="22"/>
        </w:rPr>
        <w:t>огічних ризиків, очевидно, буде незначним.</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У будь-якому випадку, Носівська міська рада в рамках своєї компетенції вживатиме всіх можливих заходів для попередження ймовірних ризиків та мінімізації їх впливу на виконання МЕПу та проєктів сталого енергетичног</w:t>
      </w:r>
      <w:r>
        <w:rPr>
          <w:rFonts w:ascii="Times New Roman" w:eastAsiaTheme="minorEastAsia" w:hAnsi="Times New Roman" w:cstheme="minorHAnsi"/>
          <w:sz w:val="22"/>
        </w:rPr>
        <w:t>о розвитку.</w:t>
      </w:r>
    </w:p>
    <w:p w:rsidR="00275E65" w:rsidRDefault="00902217">
      <w:pPr>
        <w:pStyle w:val="ArHead2"/>
        <w:tabs>
          <w:tab w:val="left" w:pos="709"/>
        </w:tabs>
        <w:spacing w:after="0" w:line="276" w:lineRule="auto"/>
        <w:ind w:firstLine="567"/>
        <w:rPr>
          <w:rFonts w:ascii="Times New Roman" w:hAnsi="Times New Roman" w:cs="Times New Roman"/>
          <w:sz w:val="22"/>
          <w:lang w:val="ru-RU"/>
        </w:rPr>
      </w:pPr>
      <w:bookmarkStart w:id="193" w:name="_Toc168064826"/>
      <w:r>
        <w:rPr>
          <w:rFonts w:ascii="Times New Roman" w:eastAsiaTheme="minorEastAsia" w:hAnsi="Times New Roman" w:cstheme="minorHAnsi"/>
          <w:sz w:val="22"/>
        </w:rPr>
        <w:t>Організація моніторингу, аналізу та оцінки ефективності муніципального енергетичного плану в цілому та проєктів сталого енергетичного розвитку.</w:t>
      </w:r>
      <w:bookmarkEnd w:id="193"/>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lang w:eastAsia="zh-CN"/>
        </w:rPr>
        <w:t>Моніторинг МЕПу включає три рівні:</w:t>
      </w:r>
    </w:p>
    <w:p w:rsidR="00275E65" w:rsidRDefault="00902217">
      <w:pPr>
        <w:pStyle w:val="Arord"/>
        <w:numPr>
          <w:ilvl w:val="0"/>
          <w:numId w:val="15"/>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lang w:eastAsia="zh-CN"/>
        </w:rPr>
        <w:t>Моніторинг основних показників, що характеризують енергетичну сит</w:t>
      </w:r>
      <w:r>
        <w:rPr>
          <w:rFonts w:ascii="Times New Roman" w:eastAsiaTheme="minorEastAsia" w:hAnsi="Times New Roman" w:cstheme="minorHAnsi"/>
          <w:sz w:val="22"/>
          <w:lang w:eastAsia="zh-CN"/>
        </w:rPr>
        <w:t>уацію в державі в цілому та показників в Чернігівській області, які є стратегічно важливими для Носівської селищної територіальної громади. Підсумки підводяться один раз на рік, як частина зведеного аналітичного моніторингового звіту.</w:t>
      </w:r>
    </w:p>
    <w:p w:rsidR="00275E65" w:rsidRDefault="00902217">
      <w:pPr>
        <w:pStyle w:val="Arord"/>
        <w:numPr>
          <w:ilvl w:val="0"/>
          <w:numId w:val="15"/>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lang w:eastAsia="zh-CN"/>
        </w:rPr>
        <w:t>Моніторинг процесу ре</w:t>
      </w:r>
      <w:r>
        <w:rPr>
          <w:rFonts w:ascii="Times New Roman" w:eastAsiaTheme="minorEastAsia" w:hAnsi="Times New Roman" w:cstheme="minorHAnsi"/>
          <w:sz w:val="22"/>
          <w:lang w:eastAsia="zh-CN"/>
        </w:rPr>
        <w:t>алізації МЕПу відповідно до визначених показників. Звіт про виконання цієї частини моніторингу готується щорічно, як частина зведеного аналітичного моніторингового звіту.</w:t>
      </w:r>
    </w:p>
    <w:p w:rsidR="00275E65" w:rsidRDefault="00902217">
      <w:pPr>
        <w:pStyle w:val="Arord"/>
        <w:numPr>
          <w:ilvl w:val="0"/>
          <w:numId w:val="15"/>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Моніторинг виконання проєктів сталого енергетичного розвитку. Оцінюється стан виконання кожного проєкту та ступінь досягнення результатів, передбачених технічним завданням на проєкт.</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color w:val="000000" w:themeColor="text1"/>
          <w:sz w:val="22"/>
          <w:lang w:eastAsia="zh-CN"/>
        </w:rPr>
        <w:t>На підставі результатів моніторингу один раз на рік готується проміжний а</w:t>
      </w:r>
      <w:r>
        <w:rPr>
          <w:rFonts w:ascii="Times New Roman" w:eastAsiaTheme="minorEastAsia" w:hAnsi="Times New Roman" w:cstheme="minorHAnsi"/>
          <w:color w:val="000000" w:themeColor="text1"/>
          <w:sz w:val="22"/>
          <w:lang w:eastAsia="zh-CN"/>
        </w:rPr>
        <w:t xml:space="preserve">наліз фінансових потреб, зведений по всіх стратегічних цілях </w:t>
      </w:r>
      <w:r>
        <w:rPr>
          <w:rFonts w:ascii="Times New Roman" w:eastAsiaTheme="minorEastAsia" w:hAnsi="Times New Roman" w:cstheme="minorHAnsi"/>
          <w:color w:val="000000" w:themeColor="text1"/>
          <w:sz w:val="22"/>
        </w:rPr>
        <w:t xml:space="preserve">та </w:t>
      </w:r>
      <w:r>
        <w:rPr>
          <w:rFonts w:ascii="Times New Roman" w:eastAsiaTheme="minorEastAsia" w:hAnsi="Times New Roman" w:cstheme="minorHAnsi"/>
          <w:color w:val="000000" w:themeColor="text1"/>
          <w:sz w:val="22"/>
          <w:lang w:eastAsia="zh-CN"/>
        </w:rPr>
        <w:t>затверджується координаціно-робочою групою з питань сталого енергетичного розвитку. Затверджений координаціно-робочою групою з питань сталого енергетичного розвитку</w:t>
      </w:r>
      <w:r>
        <w:rPr>
          <w:rFonts w:ascii="Times New Roman" w:eastAsiaTheme="minorEastAsia" w:hAnsi="Times New Roman" w:cstheme="minorHAnsi"/>
          <w:sz w:val="22"/>
          <w:lang w:eastAsia="zh-CN"/>
        </w:rPr>
        <w:t xml:space="preserve"> аналіз фінансових потреб на</w:t>
      </w:r>
      <w:r>
        <w:rPr>
          <w:rFonts w:ascii="Times New Roman" w:eastAsiaTheme="minorEastAsia" w:hAnsi="Times New Roman" w:cstheme="minorHAnsi"/>
          <w:sz w:val="22"/>
          <w:lang w:eastAsia="zh-CN"/>
        </w:rPr>
        <w:t>дається до постійних комісій Носівської селищної ради для врахування під час розробки проєкту бюджету на наступний рік.</w:t>
      </w:r>
      <w:r>
        <w:rPr>
          <w:rFonts w:ascii="Times New Roman" w:eastAsiaTheme="minorEastAsia" w:hAnsi="Times New Roman" w:cstheme="minorHAnsi"/>
          <w:color w:val="000000"/>
          <w:sz w:val="22"/>
          <w:lang w:eastAsia="uk-UA"/>
        </w:rPr>
        <w:t xml:space="preserve"> Реалізацію цілей МЕПу буде забезпечено за наявності фінансування з державного, обласного та селищного бюджетів, міжнародних фінансових о</w:t>
      </w:r>
      <w:r>
        <w:rPr>
          <w:rFonts w:ascii="Times New Roman" w:eastAsiaTheme="minorEastAsia" w:hAnsi="Times New Roman" w:cstheme="minorHAnsi"/>
          <w:color w:val="000000"/>
          <w:sz w:val="22"/>
          <w:lang w:eastAsia="uk-UA"/>
        </w:rPr>
        <w:t>рганізацій та інвесторів, спонсорської допомоги та інших джерел, не заборонених законодавством України.</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Основні очікувані показники технічних проєктів сталого енергетичного розвитку:</w:t>
      </w:r>
    </w:p>
    <w:p w:rsidR="00275E65" w:rsidRDefault="00902217">
      <w:pPr>
        <w:pStyle w:val="Arord"/>
        <w:numPr>
          <w:ilvl w:val="0"/>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період реалізації проєкту;</w:t>
      </w:r>
    </w:p>
    <w:p w:rsidR="00275E65" w:rsidRDefault="00902217">
      <w:pPr>
        <w:pStyle w:val="Arord"/>
        <w:numPr>
          <w:ilvl w:val="0"/>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кількісні показники (обсяги) реалізації проєкт</w:t>
      </w:r>
      <w:r>
        <w:rPr>
          <w:rFonts w:ascii="Times New Roman" w:eastAsiaTheme="minorEastAsia" w:hAnsi="Times New Roman" w:cstheme="minorHAnsi"/>
          <w:sz w:val="22"/>
        </w:rPr>
        <w:t>у;</w:t>
      </w:r>
    </w:p>
    <w:p w:rsidR="00275E65" w:rsidRDefault="00902217">
      <w:pPr>
        <w:pStyle w:val="Arord"/>
        <w:numPr>
          <w:ilvl w:val="0"/>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обсяг фінансування (капітальні витрати), у грн. та євро;</w:t>
      </w:r>
    </w:p>
    <w:p w:rsidR="00275E65" w:rsidRDefault="00902217">
      <w:pPr>
        <w:pStyle w:val="Arord"/>
        <w:numPr>
          <w:ilvl w:val="0"/>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загальний обсяг економії різних видів енергії, у МВт</w:t>
      </w:r>
      <w:r>
        <w:rPr>
          <w:rFonts w:ascii="Cambria Math" w:eastAsiaTheme="minorEastAsia" w:hAnsi="Cambria Math" w:cstheme="minorHAnsi"/>
          <w:sz w:val="22"/>
        </w:rPr>
        <w:t>⋅</w:t>
      </w:r>
      <w:r>
        <w:rPr>
          <w:rFonts w:ascii="Times New Roman" w:eastAsiaTheme="minorEastAsia" w:hAnsi="Times New Roman" w:cstheme="minorHAnsi"/>
          <w:sz w:val="22"/>
        </w:rPr>
        <w:t>год/рік;</w:t>
      </w:r>
    </w:p>
    <w:p w:rsidR="00275E65" w:rsidRDefault="00902217">
      <w:pPr>
        <w:pStyle w:val="Arord"/>
        <w:numPr>
          <w:ilvl w:val="0"/>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обсяг заміщення відновлюваними джерелами енергії, у МВт</w:t>
      </w:r>
      <w:r>
        <w:rPr>
          <w:rFonts w:ascii="Cambria Math" w:eastAsiaTheme="minorEastAsia" w:hAnsi="Cambria Math" w:cstheme="minorHAnsi"/>
          <w:sz w:val="22"/>
        </w:rPr>
        <w:t>⋅</w:t>
      </w:r>
      <w:r>
        <w:rPr>
          <w:rFonts w:ascii="Times New Roman" w:eastAsiaTheme="minorEastAsia" w:hAnsi="Times New Roman" w:cstheme="minorHAnsi"/>
          <w:sz w:val="22"/>
        </w:rPr>
        <w:t>год/рік;</w:t>
      </w:r>
    </w:p>
    <w:p w:rsidR="00275E65" w:rsidRDefault="00902217">
      <w:pPr>
        <w:pStyle w:val="Arord"/>
        <w:numPr>
          <w:ilvl w:val="0"/>
          <w:numId w:val="9"/>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питомі капітальні витрати, виражені у грн/кВт</w:t>
      </w:r>
      <w:r>
        <w:rPr>
          <w:rFonts w:ascii="Cambria Math" w:eastAsiaTheme="minorEastAsia" w:hAnsi="Cambria Math" w:cstheme="minorHAnsi"/>
          <w:sz w:val="22"/>
        </w:rPr>
        <w:t>⋅</w:t>
      </w:r>
      <w:r>
        <w:rPr>
          <w:rFonts w:ascii="Times New Roman" w:eastAsiaTheme="minorEastAsia" w:hAnsi="Times New Roman" w:cstheme="minorHAnsi"/>
          <w:sz w:val="22"/>
        </w:rPr>
        <w:t>год та євро/кВт</w:t>
      </w:r>
      <w:r>
        <w:rPr>
          <w:rFonts w:ascii="Cambria Math" w:eastAsiaTheme="minorEastAsia" w:hAnsi="Cambria Math" w:cstheme="minorHAnsi"/>
          <w:sz w:val="22"/>
        </w:rPr>
        <w:t>⋅</w:t>
      </w:r>
      <w:r>
        <w:rPr>
          <w:rFonts w:ascii="Times New Roman" w:eastAsiaTheme="minorEastAsia" w:hAnsi="Times New Roman" w:cstheme="minorHAnsi"/>
          <w:sz w:val="22"/>
        </w:rPr>
        <w:t>год.</w:t>
      </w:r>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rPr>
        <w:t>Основні очікувані показники організаційних проєктів сталого енергетичного розвитку:</w:t>
      </w:r>
    </w:p>
    <w:p w:rsidR="00275E65" w:rsidRDefault="00902217">
      <w:pPr>
        <w:pStyle w:val="Arord"/>
        <w:numPr>
          <w:ilvl w:val="0"/>
          <w:numId w:val="16"/>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період реалізації проєкту;</w:t>
      </w:r>
    </w:p>
    <w:p w:rsidR="00275E65" w:rsidRDefault="00902217">
      <w:pPr>
        <w:pStyle w:val="Arord"/>
        <w:numPr>
          <w:ilvl w:val="0"/>
          <w:numId w:val="16"/>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rPr>
        <w:t>кількісні показники (обсяги) реалізації проєкту;</w:t>
      </w:r>
    </w:p>
    <w:p w:rsidR="00275E65" w:rsidRDefault="00902217">
      <w:pPr>
        <w:pStyle w:val="Arord"/>
        <w:numPr>
          <w:ilvl w:val="0"/>
          <w:numId w:val="16"/>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rPr>
        <w:t>задоволеність зацікавленість сторін (через опитування);</w:t>
      </w:r>
    </w:p>
    <w:p w:rsidR="00275E65" w:rsidRDefault="00902217">
      <w:pPr>
        <w:pStyle w:val="Arord"/>
        <w:numPr>
          <w:ilvl w:val="0"/>
          <w:numId w:val="16"/>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rPr>
        <w:t>обсяг фінансування, у грн. та євро;</w:t>
      </w:r>
    </w:p>
    <w:p w:rsidR="00275E65" w:rsidRDefault="00902217">
      <w:pPr>
        <w:pStyle w:val="Arord"/>
        <w:numPr>
          <w:ilvl w:val="0"/>
          <w:numId w:val="16"/>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rPr>
        <w:t>зага</w:t>
      </w:r>
      <w:r>
        <w:rPr>
          <w:rFonts w:ascii="Times New Roman" w:eastAsiaTheme="minorEastAsia" w:hAnsi="Times New Roman" w:cstheme="minorHAnsi"/>
          <w:sz w:val="22"/>
        </w:rPr>
        <w:t>льний обсяг економії різних видів енергії за можливості, у МВт</w:t>
      </w:r>
      <w:r>
        <w:rPr>
          <w:rFonts w:ascii="Cambria Math" w:eastAsiaTheme="minorEastAsia" w:hAnsi="Cambria Math" w:cstheme="minorHAnsi"/>
          <w:sz w:val="22"/>
        </w:rPr>
        <w:t>⋅</w:t>
      </w:r>
      <w:r>
        <w:rPr>
          <w:rFonts w:ascii="Times New Roman" w:eastAsiaTheme="minorEastAsia" w:hAnsi="Times New Roman" w:cstheme="minorHAnsi"/>
          <w:sz w:val="22"/>
        </w:rPr>
        <w:t>год/рік;</w:t>
      </w:r>
    </w:p>
    <w:p w:rsidR="00275E65" w:rsidRDefault="00902217">
      <w:pPr>
        <w:pStyle w:val="Arord"/>
        <w:numPr>
          <w:ilvl w:val="0"/>
          <w:numId w:val="16"/>
        </w:numPr>
        <w:tabs>
          <w:tab w:val="left" w:pos="709"/>
        </w:tabs>
        <w:spacing w:after="0" w:line="276" w:lineRule="auto"/>
        <w:ind w:left="0" w:firstLine="567"/>
        <w:rPr>
          <w:rFonts w:ascii="Times New Roman" w:hAnsi="Times New Roman" w:cs="Times New Roman"/>
          <w:sz w:val="22"/>
          <w:lang w:val="ru-RU"/>
        </w:rPr>
      </w:pPr>
      <w:r>
        <w:rPr>
          <w:rFonts w:ascii="Times New Roman" w:eastAsiaTheme="minorEastAsia" w:hAnsi="Times New Roman" w:cstheme="minorHAnsi"/>
          <w:sz w:val="22"/>
        </w:rPr>
        <w:t>обсяг заміщення відновлюваними джерелами енергії за можливості, у</w:t>
      </w:r>
    </w:p>
    <w:p w:rsidR="00275E65" w:rsidRDefault="00902217">
      <w:pPr>
        <w:pStyle w:val="Arord"/>
        <w:numPr>
          <w:ilvl w:val="0"/>
          <w:numId w:val="16"/>
        </w:numPr>
        <w:tabs>
          <w:tab w:val="left" w:pos="709"/>
        </w:tabs>
        <w:spacing w:after="0" w:line="276" w:lineRule="auto"/>
        <w:ind w:left="0" w:firstLine="567"/>
        <w:rPr>
          <w:rFonts w:ascii="Times New Roman" w:hAnsi="Times New Roman" w:cs="Times New Roman"/>
          <w:sz w:val="22"/>
        </w:rPr>
      </w:pPr>
      <w:r>
        <w:rPr>
          <w:rFonts w:ascii="Times New Roman" w:eastAsiaTheme="minorEastAsia" w:hAnsi="Times New Roman" w:cstheme="minorHAnsi"/>
          <w:sz w:val="22"/>
        </w:rPr>
        <w:t>МВт</w:t>
      </w:r>
      <w:r>
        <w:rPr>
          <w:rFonts w:ascii="Cambria Math" w:eastAsiaTheme="minorEastAsia" w:hAnsi="Cambria Math" w:cstheme="minorHAnsi"/>
          <w:sz w:val="22"/>
        </w:rPr>
        <w:t>⋅</w:t>
      </w:r>
      <w:r>
        <w:rPr>
          <w:rFonts w:ascii="Times New Roman" w:eastAsiaTheme="minorEastAsia" w:hAnsi="Times New Roman" w:cstheme="minorHAnsi"/>
          <w:sz w:val="22"/>
        </w:rPr>
        <w:t>год/рік.</w:t>
      </w:r>
    </w:p>
    <w:p w:rsidR="00275E65" w:rsidRDefault="00902217">
      <w:pPr>
        <w:tabs>
          <w:tab w:val="left" w:pos="709"/>
        </w:tabs>
        <w:spacing w:after="0" w:line="276" w:lineRule="auto"/>
        <w:ind w:firstLine="567"/>
        <w:rPr>
          <w:rFonts w:ascii="Times New Roman" w:hAnsi="Times New Roman" w:cs="Times New Roman"/>
          <w:b/>
          <w:color w:val="44546A"/>
          <w:lang w:val="uk-UA"/>
        </w:rPr>
      </w:pPr>
      <w:r>
        <w:rPr>
          <w:rFonts w:ascii="Times New Roman" w:eastAsiaTheme="minorEastAsia" w:hAnsi="Times New Roman" w:cstheme="minorHAnsi"/>
        </w:rPr>
        <w:br w:type="page"/>
      </w:r>
    </w:p>
    <w:p w:rsidR="00275E65" w:rsidRDefault="00902217">
      <w:pPr>
        <w:pStyle w:val="ArHead1"/>
        <w:tabs>
          <w:tab w:val="left" w:pos="709"/>
        </w:tabs>
        <w:spacing w:after="0" w:line="276" w:lineRule="auto"/>
        <w:ind w:left="0" w:firstLine="567"/>
        <w:rPr>
          <w:rFonts w:ascii="Times New Roman" w:hAnsi="Times New Roman" w:cs="Times New Roman"/>
          <w:sz w:val="22"/>
        </w:rPr>
      </w:pPr>
      <w:bookmarkStart w:id="194" w:name="_Toc168064827"/>
      <w:r>
        <w:rPr>
          <w:rFonts w:ascii="Times New Roman" w:eastAsiaTheme="minorEastAsia" w:hAnsi="Times New Roman" w:cstheme="minorHAnsi"/>
          <w:sz w:val="22"/>
        </w:rPr>
        <w:t>Середньострокова місцева цільова програма</w:t>
      </w:r>
      <w:bookmarkEnd w:id="194"/>
    </w:p>
    <w:p w:rsidR="00275E65" w:rsidRDefault="00902217">
      <w:pPr>
        <w:pStyle w:val="Arord"/>
        <w:tabs>
          <w:tab w:val="left" w:pos="709"/>
        </w:tabs>
        <w:spacing w:after="0" w:line="276" w:lineRule="auto"/>
        <w:ind w:firstLine="567"/>
        <w:rPr>
          <w:rFonts w:ascii="Times New Roman" w:hAnsi="Times New Roman" w:cs="Times New Roman"/>
          <w:sz w:val="22"/>
        </w:rPr>
      </w:pPr>
      <w:r>
        <w:rPr>
          <w:rFonts w:ascii="Times New Roman" w:eastAsiaTheme="minorEastAsia" w:hAnsi="Times New Roman" w:cstheme="minorHAnsi"/>
          <w:sz w:val="22"/>
          <w:lang w:eastAsia="uk-UA"/>
        </w:rPr>
        <w:t>Програма енергозбереження та енергоефективності Носівської</w:t>
      </w:r>
      <w:r>
        <w:rPr>
          <w:rFonts w:ascii="Times New Roman" w:eastAsiaTheme="minorEastAsia" w:hAnsi="Times New Roman" w:cstheme="minorHAnsi"/>
          <w:sz w:val="22"/>
          <w:lang w:eastAsia="uk-UA"/>
        </w:rPr>
        <w:t xml:space="preserve"> міської </w:t>
      </w:r>
      <w:r>
        <w:rPr>
          <w:rFonts w:ascii="Times New Roman" w:eastAsiaTheme="minorEastAsia" w:hAnsi="Times New Roman" w:cstheme="minorHAnsi"/>
          <w:color w:val="FF0000"/>
          <w:sz w:val="22"/>
          <w:lang w:eastAsia="uk-UA"/>
        </w:rPr>
        <w:t xml:space="preserve"> </w:t>
      </w:r>
      <w:r>
        <w:rPr>
          <w:rFonts w:ascii="Times New Roman" w:eastAsiaTheme="minorEastAsia" w:hAnsi="Times New Roman" w:cstheme="minorHAnsi"/>
          <w:sz w:val="22"/>
          <w:lang w:eastAsia="uk-UA"/>
        </w:rPr>
        <w:t xml:space="preserve"> територіальної громади на 2024-2026 роки ( далі –Програма) буде розроблена відповідно до Законів України «Про місцеве самоврядування в Україні», «Про енергозбереження», «Про внесення змін до деяких законодавчих актів України щодо стимулювання за</w:t>
      </w:r>
      <w:r>
        <w:rPr>
          <w:rFonts w:ascii="Times New Roman" w:eastAsiaTheme="minorEastAsia" w:hAnsi="Times New Roman" w:cstheme="minorHAnsi"/>
          <w:sz w:val="22"/>
          <w:lang w:eastAsia="uk-UA"/>
        </w:rPr>
        <w:t>ходів з енергозбереження», «Про енергетичну ефективність будівель», «Про регулювання містобудівної діяльності» та згідно Енергетичної стратегії України на період до 2035 року «Безпека, Енергоефективність, Конкурентоспроможність» та інших стратегічних докум</w:t>
      </w:r>
      <w:r>
        <w:rPr>
          <w:rFonts w:ascii="Times New Roman" w:eastAsiaTheme="minorEastAsia" w:hAnsi="Times New Roman" w:cstheme="minorHAnsi"/>
          <w:sz w:val="22"/>
          <w:lang w:eastAsia="uk-UA"/>
        </w:rPr>
        <w:t>ентів, що будуть діяти на рівні країни та регіону на період її розробки та реалізації.</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eastAsia="uk-UA"/>
        </w:rPr>
        <w:t>Пріоритетними напрямками Програми є запровадження енергоефективних заходів та технологій, впровадження проектів у сфері сталої енергетики які забезпечать ефективне викор</w:t>
      </w:r>
      <w:r>
        <w:rPr>
          <w:rFonts w:ascii="Times New Roman" w:eastAsiaTheme="minorEastAsia" w:hAnsi="Times New Roman" w:cstheme="minorHAnsi"/>
          <w:sz w:val="22"/>
          <w:lang w:eastAsia="uk-UA"/>
        </w:rPr>
        <w:t>истання і економію паливно-енергетичних ресурсів.</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eastAsia="uk-UA"/>
        </w:rPr>
        <w:t>Програма містить перелік основних заходів та план дій, виконання яких спрямоване на забезпечення реалізації в Носівській ТГ державної політики у сфері енергозбереження, вдосконалення системи управління енер</w:t>
      </w:r>
      <w:r>
        <w:rPr>
          <w:rFonts w:ascii="Times New Roman" w:eastAsiaTheme="minorEastAsia" w:hAnsi="Times New Roman" w:cstheme="minorHAnsi"/>
          <w:sz w:val="22"/>
          <w:lang w:eastAsia="uk-UA"/>
        </w:rPr>
        <w:t>гозбереженням, спрямованої на підвищення ефективності використання паливно-енергетичних ресурсів у бюджетній та комунальній сферах, формування у населення світогляду, орієнтованого на енергоефективне використання ПЕР, отримання енергозберігаючого, соціальн</w:t>
      </w:r>
      <w:r>
        <w:rPr>
          <w:rFonts w:ascii="Times New Roman" w:eastAsiaTheme="minorEastAsia" w:hAnsi="Times New Roman" w:cstheme="minorHAnsi"/>
          <w:sz w:val="22"/>
          <w:lang w:eastAsia="uk-UA"/>
        </w:rPr>
        <w:t>ого та економічного ефекту.</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eastAsia="uk-UA"/>
        </w:rPr>
        <w:t>Фінансування заходів програми здійснюватиметься на основі залучення коштів державного фонду регіонального розвитку, коштів місцевого бюджету, власних коштів суб’єктів господарювання, населення, інвестиційних коштів та інших кошт</w:t>
      </w:r>
      <w:r>
        <w:rPr>
          <w:rFonts w:ascii="Times New Roman" w:eastAsiaTheme="minorEastAsia" w:hAnsi="Times New Roman" w:cstheme="minorHAnsi"/>
          <w:sz w:val="22"/>
          <w:lang w:eastAsia="uk-UA"/>
        </w:rPr>
        <w:t>ів з інших позабюджетних джерел.</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eastAsia="uk-UA"/>
        </w:rPr>
        <w:t>За необхідності до Програми можуть бути внесені зміни та доповнення з урахуванням реального стану справ, зокрема факторів, які суттєво впливатимуть на стратегію та структуру енергозбереження.</w:t>
      </w:r>
    </w:p>
    <w:p w:rsidR="00275E65" w:rsidRDefault="00902217">
      <w:pPr>
        <w:pStyle w:val="Arord"/>
        <w:tabs>
          <w:tab w:val="left" w:pos="709"/>
        </w:tabs>
        <w:spacing w:after="0" w:line="276" w:lineRule="auto"/>
        <w:ind w:firstLine="567"/>
        <w:rPr>
          <w:rFonts w:ascii="Times New Roman" w:hAnsi="Times New Roman" w:cs="Times New Roman"/>
          <w:sz w:val="22"/>
          <w:lang w:val="ru-RU"/>
        </w:rPr>
      </w:pPr>
      <w:r>
        <w:rPr>
          <w:rFonts w:ascii="Times New Roman" w:eastAsiaTheme="minorEastAsia" w:hAnsi="Times New Roman" w:cstheme="minorHAnsi"/>
          <w:sz w:val="22"/>
          <w:lang w:eastAsia="uk-UA"/>
        </w:rPr>
        <w:t xml:space="preserve">Відповідно до проекту Методики </w:t>
      </w:r>
      <w:r>
        <w:rPr>
          <w:rFonts w:ascii="Times New Roman" w:eastAsiaTheme="minorEastAsia" w:hAnsi="Times New Roman" w:cstheme="minorHAnsi"/>
          <w:sz w:val="22"/>
          <w:lang w:eastAsia="uk-UA"/>
        </w:rPr>
        <w:t xml:space="preserve">розробки Муніципального енергетичного плану </w:t>
      </w:r>
    </w:p>
    <w:p w:rsidR="00275E65" w:rsidRDefault="00902217">
      <w:pPr>
        <w:tabs>
          <w:tab w:val="left" w:pos="709"/>
        </w:tabs>
        <w:spacing w:after="0" w:line="276" w:lineRule="auto"/>
        <w:ind w:firstLine="567"/>
        <w:rPr>
          <w:rFonts w:ascii="Times New Roman" w:hAnsi="Times New Roman" w:cs="Times New Roman"/>
          <w:b/>
          <w:color w:val="44546A"/>
          <w:lang w:val="uk-UA"/>
        </w:rPr>
      </w:pPr>
      <w:r>
        <w:rPr>
          <w:rFonts w:ascii="Times New Roman" w:eastAsiaTheme="minorEastAsia" w:hAnsi="Times New Roman" w:cstheme="minorHAnsi"/>
          <w:lang w:val="ru-RU"/>
        </w:rPr>
        <w:br w:type="page"/>
      </w:r>
    </w:p>
    <w:p w:rsidR="00275E65" w:rsidRDefault="00902217">
      <w:pPr>
        <w:pStyle w:val="ArHead1"/>
        <w:tabs>
          <w:tab w:val="left" w:pos="709"/>
        </w:tabs>
        <w:spacing w:after="0" w:line="276" w:lineRule="auto"/>
        <w:ind w:left="0" w:firstLine="567"/>
        <w:rPr>
          <w:rFonts w:ascii="Times New Roman" w:hAnsi="Times New Roman" w:cs="Times New Roman"/>
          <w:sz w:val="22"/>
        </w:rPr>
      </w:pPr>
      <w:bookmarkStart w:id="195" w:name="_Toc168064828"/>
      <w:r>
        <w:rPr>
          <w:rFonts w:ascii="Times New Roman" w:eastAsiaTheme="minorEastAsia" w:hAnsi="Times New Roman" w:cstheme="minorHAnsi"/>
          <w:sz w:val="22"/>
        </w:rPr>
        <w:t>Очікувані результати виконання МЕП</w:t>
      </w:r>
      <w:bookmarkEnd w:id="195"/>
      <w:r>
        <w:rPr>
          <w:rFonts w:ascii="Times New Roman" w:eastAsiaTheme="minorEastAsia" w:hAnsi="Times New Roman" w:cstheme="minorHAnsi"/>
          <w:sz w:val="22"/>
        </w:rPr>
        <w:t xml:space="preserve"> </w:t>
      </w:r>
    </w:p>
    <w:p w:rsidR="00275E65" w:rsidRDefault="00902217">
      <w:pPr>
        <w:pStyle w:val="ArHead2"/>
        <w:tabs>
          <w:tab w:val="left" w:pos="709"/>
        </w:tabs>
        <w:spacing w:after="0" w:line="276" w:lineRule="auto"/>
        <w:ind w:firstLine="567"/>
        <w:rPr>
          <w:rFonts w:ascii="Times New Roman" w:hAnsi="Times New Roman" w:cs="Times New Roman"/>
          <w:sz w:val="22"/>
        </w:rPr>
      </w:pPr>
      <w:bookmarkStart w:id="196" w:name="_Toc168064829"/>
      <w:r>
        <w:rPr>
          <w:rFonts w:ascii="Times New Roman" w:eastAsiaTheme="minorEastAsia" w:hAnsi="Times New Roman" w:cstheme="minorHAnsi"/>
          <w:sz w:val="22"/>
        </w:rPr>
        <w:t>Кількісні і якісні показників основних очікуваних результатів від виконання муніципального</w:t>
      </w:r>
      <w:r>
        <w:rPr>
          <w:rFonts w:ascii="Times New Roman" w:eastAsiaTheme="minorEastAsia" w:hAnsi="Times New Roman" w:cstheme="minorHAnsi"/>
          <w:sz w:val="22"/>
        </w:rPr>
        <w:t xml:space="preserve"> енергетичного плану на кінець періоду енергетичного планування в розрізі пріоритетних секторі</w:t>
      </w:r>
      <w:bookmarkEnd w:id="196"/>
    </w:p>
    <w:p w:rsidR="00275E65" w:rsidRDefault="00275E65">
      <w:pPr>
        <w:pStyle w:val="Arord"/>
        <w:rPr>
          <w:rFonts w:ascii="Times New Roman" w:hAnsi="Times New Roman" w:cs="Times New Roman"/>
          <w:sz w:val="22"/>
        </w:rPr>
      </w:pPr>
    </w:p>
    <w:p w:rsidR="00275E65" w:rsidRDefault="00902217">
      <w:pPr>
        <w:pStyle w:val="Arord"/>
        <w:rPr>
          <w:rFonts w:ascii="Times New Roman" w:hAnsi="Times New Roman" w:cs="Times New Roman"/>
          <w:sz w:val="22"/>
        </w:rPr>
      </w:pPr>
      <w:r>
        <w:rPr>
          <w:rFonts w:ascii="Times New Roman" w:eastAsiaTheme="minorEastAsia" w:hAnsi="Times New Roman" w:cstheme="minorHAnsi"/>
          <w:sz w:val="22"/>
        </w:rPr>
        <w:t>На основі отриманих кількісних та якісних показників, можна розробити їх наступне розширене тлумачення:</w:t>
      </w:r>
    </w:p>
    <w:p w:rsidR="00275E65" w:rsidRDefault="00902217">
      <w:pPr>
        <w:pStyle w:val="Arord"/>
        <w:rPr>
          <w:rFonts w:ascii="Times New Roman" w:hAnsi="Times New Roman" w:cs="Times New Roman"/>
          <w:b/>
          <w:sz w:val="22"/>
        </w:rPr>
      </w:pPr>
      <w:r>
        <w:rPr>
          <w:rFonts w:ascii="Times New Roman" w:eastAsiaTheme="minorEastAsia" w:hAnsi="Times New Roman" w:cstheme="minorHAnsi"/>
          <w:b/>
          <w:sz w:val="22"/>
        </w:rPr>
        <w:t>Кількісні показники:</w:t>
      </w:r>
    </w:p>
    <w:p w:rsidR="00275E65" w:rsidRDefault="00902217">
      <w:pPr>
        <w:pStyle w:val="Arord"/>
        <w:rPr>
          <w:rFonts w:ascii="Times New Roman" w:hAnsi="Times New Roman" w:cs="Times New Roman"/>
          <w:sz w:val="22"/>
        </w:rPr>
      </w:pPr>
      <w:r>
        <w:rPr>
          <w:rFonts w:ascii="Times New Roman" w:eastAsiaTheme="minorEastAsia" w:hAnsi="Times New Roman" w:cstheme="minorHAnsi"/>
          <w:b/>
          <w:sz w:val="22"/>
        </w:rPr>
        <w:t>Скорочення споживання енергії на 13</w:t>
      </w:r>
      <w:r>
        <w:rPr>
          <w:rFonts w:ascii="Times New Roman" w:eastAsiaTheme="minorEastAsia" w:hAnsi="Times New Roman" w:cstheme="minorHAnsi"/>
          <w:b/>
          <w:sz w:val="22"/>
        </w:rPr>
        <w:t>741,23 МВт*год:</w:t>
      </w:r>
      <w:r>
        <w:rPr>
          <w:rFonts w:ascii="Times New Roman" w:eastAsiaTheme="minorEastAsia" w:hAnsi="Times New Roman" w:cstheme="minorHAnsi"/>
          <w:sz w:val="22"/>
        </w:rPr>
        <w:t xml:space="preserve"> це означає значне зниження загального енергоспоживання у порівнянні з базовим роком. Це може бути досягнуто через широкий спектр заходів, включаючи модернізацію систем опалення та освітлення, підвищення теплоізоляції будівель та впровадженн</w:t>
      </w:r>
      <w:r>
        <w:rPr>
          <w:rFonts w:ascii="Times New Roman" w:eastAsiaTheme="minorEastAsia" w:hAnsi="Times New Roman" w:cstheme="minorHAnsi"/>
          <w:sz w:val="22"/>
        </w:rPr>
        <w:t>я енергозберігаючих технологій.</w:t>
      </w:r>
    </w:p>
    <w:p w:rsidR="00275E65" w:rsidRDefault="00902217">
      <w:pPr>
        <w:pStyle w:val="Arord"/>
        <w:rPr>
          <w:rFonts w:ascii="Times New Roman" w:hAnsi="Times New Roman" w:cs="Times New Roman"/>
          <w:sz w:val="22"/>
        </w:rPr>
      </w:pPr>
      <w:r>
        <w:rPr>
          <w:rFonts w:ascii="Times New Roman" w:eastAsiaTheme="minorEastAsia" w:hAnsi="Times New Roman" w:cstheme="minorHAnsi"/>
          <w:b/>
          <w:sz w:val="22"/>
        </w:rPr>
        <w:t>Виробництво енергії з ВДЕ 21120 МВт*год на рік</w:t>
      </w:r>
      <w:r>
        <w:rPr>
          <w:rFonts w:ascii="Times New Roman" w:eastAsiaTheme="minorEastAsia" w:hAnsi="Times New Roman" w:cstheme="minorHAnsi"/>
          <w:sz w:val="22"/>
        </w:rPr>
        <w:t>: цей показник вказує на амбітні цілі громади щодо генерації значної кількості енергії за допомогою відновлюваних джерел, таких як сонячна, вітрова енергія, біомаса тощо.</w:t>
      </w:r>
    </w:p>
    <w:p w:rsidR="00275E65" w:rsidRDefault="00902217">
      <w:pPr>
        <w:pStyle w:val="Arord"/>
        <w:rPr>
          <w:rFonts w:ascii="Times New Roman" w:hAnsi="Times New Roman" w:cs="Times New Roman"/>
          <w:sz w:val="22"/>
        </w:rPr>
      </w:pPr>
      <w:r>
        <w:rPr>
          <w:rFonts w:ascii="Times New Roman" w:eastAsiaTheme="minorEastAsia" w:hAnsi="Times New Roman" w:cstheme="minorHAnsi"/>
          <w:b/>
          <w:sz w:val="22"/>
        </w:rPr>
        <w:t>Виробни</w:t>
      </w:r>
      <w:r>
        <w:rPr>
          <w:rFonts w:ascii="Times New Roman" w:eastAsiaTheme="minorEastAsia" w:hAnsi="Times New Roman" w:cstheme="minorHAnsi"/>
          <w:b/>
          <w:sz w:val="22"/>
        </w:rPr>
        <w:t>цтво енергії з ВДЕ у бюджетних будівлях та сфері водопостачання (190 та 149 МВт*год відповідно)</w:t>
      </w:r>
      <w:r>
        <w:rPr>
          <w:rFonts w:ascii="Times New Roman" w:eastAsiaTheme="minorEastAsia" w:hAnsi="Times New Roman" w:cstheme="minorHAnsi"/>
          <w:sz w:val="22"/>
        </w:rPr>
        <w:t>: це свідчить про зосередження зусиль на використанні відновлюваних джерел енергії в ключових секторах, які часто є великими споживачами енергії.</w:t>
      </w:r>
    </w:p>
    <w:p w:rsidR="00275E65" w:rsidRDefault="00902217">
      <w:pPr>
        <w:pStyle w:val="Arord"/>
        <w:rPr>
          <w:rFonts w:ascii="Times New Roman" w:hAnsi="Times New Roman" w:cs="Times New Roman"/>
          <w:sz w:val="22"/>
        </w:rPr>
      </w:pPr>
      <w:r>
        <w:rPr>
          <w:rFonts w:ascii="Times New Roman" w:eastAsiaTheme="minorEastAsia" w:hAnsi="Times New Roman" w:cstheme="minorHAnsi"/>
          <w:b/>
          <w:sz w:val="22"/>
        </w:rPr>
        <w:t>Скорочення спож</w:t>
      </w:r>
      <w:r>
        <w:rPr>
          <w:rFonts w:ascii="Times New Roman" w:eastAsiaTheme="minorEastAsia" w:hAnsi="Times New Roman" w:cstheme="minorHAnsi"/>
          <w:b/>
          <w:sz w:val="22"/>
        </w:rPr>
        <w:t>ивання енергії у громадських будівлях на 6648,3 МВт*год:</w:t>
      </w:r>
      <w:r>
        <w:rPr>
          <w:rFonts w:ascii="Times New Roman" w:eastAsiaTheme="minorEastAsia" w:hAnsi="Times New Roman" w:cstheme="minorHAnsi"/>
          <w:sz w:val="22"/>
        </w:rPr>
        <w:t xml:space="preserve"> покращення енергоефективності в громадських будівлях, таких як школи, лікарні, адміністративні будівлі, може суттєво знизити витрати на енергію та вуглецевий відбиток.</w:t>
      </w:r>
    </w:p>
    <w:p w:rsidR="00275E65" w:rsidRDefault="00275E65">
      <w:pPr>
        <w:pStyle w:val="Arord"/>
        <w:rPr>
          <w:rFonts w:ascii="Times New Roman" w:hAnsi="Times New Roman" w:cs="Times New Roman"/>
          <w:sz w:val="22"/>
        </w:rPr>
      </w:pPr>
    </w:p>
    <w:p w:rsidR="00275E65" w:rsidRDefault="00902217">
      <w:pPr>
        <w:pStyle w:val="Arord"/>
        <w:rPr>
          <w:rFonts w:ascii="Times New Roman" w:hAnsi="Times New Roman" w:cs="Times New Roman"/>
          <w:b/>
          <w:sz w:val="22"/>
        </w:rPr>
      </w:pPr>
      <w:r>
        <w:rPr>
          <w:rFonts w:ascii="Times New Roman" w:eastAsiaTheme="minorEastAsia" w:hAnsi="Times New Roman" w:cstheme="minorHAnsi"/>
          <w:b/>
          <w:sz w:val="22"/>
        </w:rPr>
        <w:t>Якісні показники:</w:t>
      </w:r>
    </w:p>
    <w:p w:rsidR="00275E65" w:rsidRDefault="00275E65">
      <w:pPr>
        <w:pStyle w:val="Arord"/>
        <w:rPr>
          <w:rFonts w:ascii="Times New Roman" w:hAnsi="Times New Roman" w:cs="Times New Roman"/>
          <w:sz w:val="22"/>
        </w:rPr>
      </w:pPr>
    </w:p>
    <w:p w:rsidR="00275E65" w:rsidRDefault="00902217">
      <w:pPr>
        <w:pStyle w:val="Arord"/>
        <w:rPr>
          <w:rFonts w:ascii="Times New Roman" w:hAnsi="Times New Roman" w:cs="Times New Roman"/>
          <w:sz w:val="22"/>
        </w:rPr>
      </w:pPr>
      <w:r>
        <w:rPr>
          <w:rFonts w:ascii="Times New Roman" w:eastAsiaTheme="minorEastAsia" w:hAnsi="Times New Roman" w:cstheme="minorHAnsi"/>
          <w:b/>
          <w:sz w:val="22"/>
        </w:rPr>
        <w:t>Зацікавлені</w:t>
      </w:r>
      <w:r>
        <w:rPr>
          <w:rFonts w:ascii="Times New Roman" w:eastAsiaTheme="minorEastAsia" w:hAnsi="Times New Roman" w:cstheme="minorHAnsi"/>
          <w:b/>
          <w:sz w:val="22"/>
        </w:rPr>
        <w:t>сть населення у впровадженні заходів:</w:t>
      </w:r>
      <w:r>
        <w:rPr>
          <w:rFonts w:ascii="Times New Roman" w:eastAsiaTheme="minorEastAsia" w:hAnsi="Times New Roman" w:cstheme="minorHAnsi"/>
          <w:sz w:val="22"/>
        </w:rPr>
        <w:t xml:space="preserve"> активна участь та підтримка місцевого населення у заходах зі скорочення споживання енергії та виробництва енергії з ВДЕ є ключовим чинником успіху. Це включає освітні програми, ініціативи зі залучення громадськості та </w:t>
      </w:r>
      <w:r>
        <w:rPr>
          <w:rFonts w:ascii="Times New Roman" w:eastAsiaTheme="minorEastAsia" w:hAnsi="Times New Roman" w:cstheme="minorHAnsi"/>
          <w:sz w:val="22"/>
        </w:rPr>
        <w:t>розробку мотиваційних заходів.</w:t>
      </w:r>
    </w:p>
    <w:p w:rsidR="00275E65" w:rsidRDefault="00902217">
      <w:pPr>
        <w:pStyle w:val="Arord"/>
        <w:rPr>
          <w:rFonts w:ascii="Times New Roman" w:hAnsi="Times New Roman" w:cs="Times New Roman"/>
          <w:sz w:val="22"/>
        </w:rPr>
      </w:pPr>
      <w:r>
        <w:rPr>
          <w:rFonts w:ascii="Times New Roman" w:eastAsiaTheme="minorEastAsia" w:hAnsi="Times New Roman" w:cstheme="minorHAnsi"/>
          <w:b/>
          <w:sz w:val="22"/>
        </w:rPr>
        <w:t>Імідж надійного партнера у впровадженні проектів:</w:t>
      </w:r>
      <w:r>
        <w:rPr>
          <w:rFonts w:ascii="Times New Roman" w:eastAsiaTheme="minorEastAsia" w:hAnsi="Times New Roman" w:cstheme="minorHAnsi"/>
          <w:sz w:val="22"/>
        </w:rPr>
        <w:t xml:space="preserve"> це означає високий рівень довіри та репутації серед потенційних інвесторів, партнерів та донорів, що може сприяти залученню додаткового фінансування та технічної підтримки.</w:t>
      </w:r>
    </w:p>
    <w:p w:rsidR="00275E65" w:rsidRDefault="00902217">
      <w:pPr>
        <w:pStyle w:val="Arord"/>
        <w:rPr>
          <w:rFonts w:ascii="Times New Roman" w:hAnsi="Times New Roman" w:cs="Times New Roman"/>
          <w:sz w:val="22"/>
        </w:rPr>
      </w:pPr>
      <w:r>
        <w:rPr>
          <w:rFonts w:ascii="Times New Roman" w:eastAsiaTheme="minorEastAsia" w:hAnsi="Times New Roman" w:cstheme="minorHAnsi"/>
          <w:b/>
          <w:sz w:val="22"/>
        </w:rPr>
        <w:t>Лідерство та приклад для наслідування іншими громадами:</w:t>
      </w:r>
      <w:r>
        <w:rPr>
          <w:rFonts w:ascii="Times New Roman" w:eastAsiaTheme="minorEastAsia" w:hAnsi="Times New Roman" w:cstheme="minorHAnsi"/>
          <w:sz w:val="22"/>
        </w:rPr>
        <w:t xml:space="preserve"> Створення успішного прикладу впровадження ефективних енергетичних рішень може служити стимулом для інших громад у реалізації подібних ініціатив, сприяючи ширшому поширенню практик сталого енергетичног</w:t>
      </w:r>
      <w:r>
        <w:rPr>
          <w:rFonts w:ascii="Times New Roman" w:eastAsiaTheme="minorEastAsia" w:hAnsi="Times New Roman" w:cstheme="minorHAnsi"/>
          <w:sz w:val="22"/>
        </w:rPr>
        <w:t>о розвитку на національному рівні.</w:t>
      </w:r>
    </w:p>
    <w:p w:rsidR="00275E65" w:rsidRDefault="00902217">
      <w:pPr>
        <w:tabs>
          <w:tab w:val="left" w:pos="709"/>
        </w:tabs>
        <w:spacing w:after="0" w:line="276" w:lineRule="auto"/>
        <w:ind w:firstLine="567"/>
        <w:rPr>
          <w:rFonts w:ascii="Times New Roman" w:hAnsi="Times New Roman" w:cs="Times New Roman"/>
          <w:lang w:val="uk-UA"/>
        </w:rPr>
      </w:pPr>
      <w:r>
        <w:rPr>
          <w:rFonts w:ascii="Times New Roman" w:eastAsiaTheme="minorEastAsia" w:hAnsi="Times New Roman" w:cstheme="minorHAnsi"/>
          <w:lang w:val="uk-UA"/>
        </w:rPr>
        <w:br w:type="page"/>
      </w:r>
    </w:p>
    <w:p w:rsidR="00275E65" w:rsidRDefault="00902217">
      <w:pPr>
        <w:tabs>
          <w:tab w:val="left" w:pos="709"/>
        </w:tabs>
        <w:spacing w:after="0" w:line="276" w:lineRule="auto"/>
        <w:ind w:firstLine="567"/>
        <w:jc w:val="both"/>
        <w:rPr>
          <w:rFonts w:ascii="Times New Roman" w:hAnsi="Times New Roman" w:cs="Times New Roman"/>
          <w:lang w:val="uk-UA"/>
        </w:rPr>
      </w:pPr>
      <w:r>
        <w:rPr>
          <w:rFonts w:ascii="Times New Roman" w:eastAsiaTheme="minorEastAsia" w:hAnsi="Times New Roman" w:cstheme="minorHAnsi"/>
          <w:lang w:val="uk-UA"/>
        </w:rPr>
        <w:t>Додаток 1.</w:t>
      </w:r>
      <w:r>
        <w:rPr>
          <w:rFonts w:ascii="Times New Roman" w:eastAsiaTheme="minorEastAsia" w:hAnsi="Times New Roman" w:cstheme="minorHAnsi"/>
          <w:lang w:val="ru-RU"/>
        </w:rPr>
        <w:t xml:space="preserve"> </w:t>
      </w:r>
      <w:r>
        <w:rPr>
          <w:rFonts w:ascii="Times New Roman" w:eastAsiaTheme="minorEastAsia" w:hAnsi="Times New Roman" w:cstheme="minorHAnsi"/>
          <w:lang w:val="uk-UA"/>
        </w:rPr>
        <w:t>П</w:t>
      </w:r>
      <w:r>
        <w:rPr>
          <w:rFonts w:ascii="Times New Roman" w:eastAsiaTheme="minorEastAsia" w:hAnsi="Times New Roman" w:cstheme="minorHAnsi"/>
          <w:lang w:val="ru-RU"/>
        </w:rPr>
        <w:t>ерелік нормативно-правових актів, що враховувалися при розробці МЕП</w:t>
      </w: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902217">
      <w:pPr>
        <w:tabs>
          <w:tab w:val="left" w:pos="851"/>
        </w:tabs>
        <w:spacing w:after="0" w:line="276" w:lineRule="auto"/>
        <w:ind w:firstLine="851"/>
        <w:jc w:val="both"/>
        <w:rPr>
          <w:rFonts w:ascii="Times New Roman" w:eastAsia="Times New Roman" w:hAnsi="Times New Roman" w:cs="Times New Roman"/>
          <w:iCs/>
          <w:color w:val="000000"/>
          <w:lang w:val="ru-RU"/>
        </w:rPr>
      </w:pPr>
      <w:r>
        <w:rPr>
          <w:rFonts w:ascii="Times New Roman" w:eastAsiaTheme="minorEastAsia" w:hAnsi="Times New Roman" w:cstheme="minorHAnsi"/>
          <w:iCs/>
          <w:color w:val="000000"/>
          <w:lang w:val="ru-RU"/>
        </w:rPr>
        <w:t>Згідно Проекту методики розробки МЕП їх розроблення проводиться з урахуванням:</w:t>
      </w:r>
    </w:p>
    <w:p w:rsidR="00275E65" w:rsidRDefault="00902217">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76" w:lineRule="auto"/>
        <w:ind w:left="0" w:firstLine="851"/>
        <w:jc w:val="both"/>
        <w:rPr>
          <w:rFonts w:ascii="Times New Roman" w:eastAsia="Times New Roman" w:hAnsi="Times New Roman" w:cs="Times New Roman"/>
          <w:iCs/>
          <w:color w:val="000000"/>
          <w:lang w:val="ru-RU"/>
        </w:rPr>
      </w:pPr>
      <w:r>
        <w:rPr>
          <w:rFonts w:ascii="Times New Roman" w:eastAsiaTheme="minorEastAsia" w:hAnsi="Times New Roman" w:cstheme="minorHAnsi"/>
          <w:iCs/>
          <w:color w:val="000000"/>
          <w:lang w:val="uk-UA"/>
        </w:rPr>
        <w:t>Закон України «Про енергетичну ефективність»</w:t>
      </w:r>
    </w:p>
    <w:p w:rsidR="00275E65" w:rsidRDefault="00902217">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76" w:lineRule="auto"/>
        <w:ind w:left="0" w:firstLine="851"/>
        <w:jc w:val="both"/>
        <w:rPr>
          <w:rFonts w:ascii="Times New Roman" w:eastAsia="Times New Roman" w:hAnsi="Times New Roman" w:cs="Times New Roman"/>
          <w:iCs/>
          <w:color w:val="000000"/>
          <w:lang w:val="ru-RU"/>
        </w:rPr>
      </w:pPr>
      <w:r>
        <w:rPr>
          <w:rFonts w:ascii="Times New Roman" w:eastAsiaTheme="minorEastAsia" w:hAnsi="Times New Roman" w:cstheme="minorHAnsi"/>
          <w:iCs/>
          <w:color w:val="000000"/>
          <w:lang w:val="uk-UA"/>
        </w:rPr>
        <w:t>Закон України «Про енергетичну ефективність будівель»</w:t>
      </w:r>
    </w:p>
    <w:p w:rsidR="00275E65" w:rsidRDefault="00902217">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76" w:lineRule="auto"/>
        <w:ind w:left="0" w:firstLine="851"/>
        <w:jc w:val="both"/>
        <w:rPr>
          <w:rFonts w:ascii="Times New Roman" w:eastAsia="Times New Roman" w:hAnsi="Times New Roman" w:cs="Times New Roman"/>
          <w:iCs/>
          <w:color w:val="000000"/>
          <w:lang w:val="ru-RU"/>
        </w:rPr>
      </w:pPr>
      <w:hyperlink r:id="rId74" w:anchor="n8" w:tooltip="https://zakon.rada.gov.ua/laws/show/605-2017-%D1%80#n8" w:history="1">
        <w:r>
          <w:rPr>
            <w:rFonts w:ascii="Times New Roman" w:eastAsiaTheme="minorEastAsia" w:hAnsi="Times New Roman" w:cstheme="minorHAnsi"/>
            <w:iCs/>
            <w:color w:val="0000FF"/>
            <w:u w:val="single"/>
            <w:lang w:val="ru-RU"/>
          </w:rPr>
          <w:t>Енергетичної стратегії України на період до 2035 року</w:t>
        </w:r>
      </w:hyperlink>
      <w:r>
        <w:rPr>
          <w:rFonts w:ascii="Times New Roman" w:eastAsiaTheme="minorEastAsia" w:hAnsi="Times New Roman" w:cstheme="minorHAnsi"/>
          <w:iCs/>
          <w:color w:val="000000"/>
        </w:rPr>
        <w:t> </w:t>
      </w:r>
      <w:r>
        <w:rPr>
          <w:rFonts w:ascii="Times New Roman" w:eastAsiaTheme="minorEastAsia" w:hAnsi="Times New Roman" w:cstheme="minorHAnsi"/>
          <w:iCs/>
          <w:color w:val="000000"/>
          <w:lang w:val="ru-RU"/>
        </w:rPr>
        <w:t>«Безпека, ен</w:t>
      </w:r>
      <w:r>
        <w:rPr>
          <w:rFonts w:ascii="Times New Roman" w:eastAsiaTheme="minorEastAsia" w:hAnsi="Times New Roman" w:cstheme="minorHAnsi"/>
          <w:iCs/>
          <w:color w:val="000000"/>
          <w:lang w:val="ru-RU"/>
        </w:rPr>
        <w:t>ергоефективність, конкурентоспроможність», схваленої розпорядженням Кабінету Міністрів України від 18 серпня 2017 року № 605-р;</w:t>
      </w:r>
    </w:p>
    <w:p w:rsidR="00275E65" w:rsidRDefault="00902217">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76" w:lineRule="auto"/>
        <w:ind w:left="0" w:firstLine="851"/>
        <w:jc w:val="both"/>
        <w:rPr>
          <w:rFonts w:ascii="Times New Roman" w:eastAsia="Times New Roman" w:hAnsi="Times New Roman" w:cs="Times New Roman"/>
          <w:iCs/>
          <w:color w:val="000000"/>
          <w:lang w:val="ru-RU"/>
        </w:rPr>
      </w:pPr>
      <w:hyperlink r:id="rId75" w:anchor="n11" w:tooltip="https://zakon.rada.gov.ua/laws/show/88-2020-%D1%80#n11" w:history="1">
        <w:r>
          <w:rPr>
            <w:rFonts w:ascii="Times New Roman" w:eastAsiaTheme="minorEastAsia" w:hAnsi="Times New Roman" w:cstheme="minorHAnsi"/>
            <w:iCs/>
            <w:color w:val="0000FF"/>
            <w:u w:val="single"/>
            <w:lang w:val="ru-RU"/>
          </w:rPr>
          <w:t>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w:t>
        </w:r>
      </w:hyperlink>
      <w:r>
        <w:rPr>
          <w:rFonts w:ascii="Times New Roman" w:eastAsiaTheme="minorEastAsia" w:hAnsi="Times New Roman" w:cstheme="minorHAnsi"/>
          <w:iCs/>
          <w:color w:val="000000"/>
          <w:lang w:val="ru-RU"/>
        </w:rPr>
        <w:t>, схваленої розпорядженням Кабінету Міністрів України від 29 сі</w:t>
      </w:r>
      <w:r>
        <w:rPr>
          <w:rFonts w:ascii="Times New Roman" w:eastAsiaTheme="minorEastAsia" w:hAnsi="Times New Roman" w:cstheme="minorHAnsi"/>
          <w:iCs/>
          <w:color w:val="000000"/>
          <w:lang w:val="ru-RU"/>
        </w:rPr>
        <w:t>чня 2020 року № 88-р;</w:t>
      </w:r>
    </w:p>
    <w:p w:rsidR="00275E65" w:rsidRDefault="00902217">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76" w:lineRule="auto"/>
        <w:ind w:left="0" w:firstLine="851"/>
        <w:jc w:val="both"/>
        <w:rPr>
          <w:rFonts w:ascii="Times New Roman" w:eastAsia="Times New Roman" w:hAnsi="Times New Roman" w:cs="Times New Roman"/>
          <w:iCs/>
          <w:color w:val="000000"/>
          <w:lang w:val="ru-RU"/>
        </w:rPr>
      </w:pPr>
      <w:hyperlink r:id="rId76" w:anchor="n8" w:tooltip="https://zakon.rada.gov.ua/laws/show/569-2017-%D1%80#n8" w:history="1">
        <w:r>
          <w:rPr>
            <w:rFonts w:ascii="Times New Roman" w:eastAsiaTheme="minorEastAsia" w:hAnsi="Times New Roman" w:cstheme="minorHAnsi"/>
            <w:iCs/>
            <w:color w:val="0000FF"/>
            <w:u w:val="single"/>
            <w:lang w:val="ru-RU"/>
          </w:rPr>
          <w:t>Концепції реалізації державної політики у сфері теплопостачання</w:t>
        </w:r>
      </w:hyperlink>
      <w:r>
        <w:rPr>
          <w:rFonts w:ascii="Times New Roman" w:eastAsiaTheme="minorEastAsia" w:hAnsi="Times New Roman" w:cstheme="minorHAnsi"/>
          <w:iCs/>
          <w:color w:val="000000"/>
          <w:lang w:val="ru-RU"/>
        </w:rPr>
        <w:t>, схваленої розпо</w:t>
      </w:r>
      <w:r>
        <w:rPr>
          <w:rFonts w:ascii="Times New Roman" w:eastAsiaTheme="minorEastAsia" w:hAnsi="Times New Roman" w:cstheme="minorHAnsi"/>
          <w:iCs/>
          <w:color w:val="000000"/>
          <w:lang w:val="ru-RU"/>
        </w:rPr>
        <w:t>рядженням Кабінету Міністрів України від 18 серпня 2017 року № 569-р;</w:t>
      </w:r>
    </w:p>
    <w:p w:rsidR="00275E65" w:rsidRDefault="00902217">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76" w:lineRule="auto"/>
        <w:ind w:left="0" w:firstLine="851"/>
        <w:jc w:val="both"/>
        <w:rPr>
          <w:rFonts w:ascii="Times New Roman" w:eastAsia="Times New Roman" w:hAnsi="Times New Roman" w:cs="Times New Roman"/>
          <w:iCs/>
          <w:color w:val="000000"/>
          <w:lang w:val="ru-RU"/>
        </w:rPr>
      </w:pPr>
      <w:hyperlink r:id="rId77" w:tooltip="https://zakon.rada.gov.ua/laws/show/1803-2021-%D1%80%22%20/l%20%22Text" w:history="1">
        <w:r>
          <w:rPr>
            <w:rFonts w:ascii="Times New Roman" w:eastAsiaTheme="minorEastAsia" w:hAnsi="Times New Roman" w:cstheme="minorHAnsi"/>
            <w:iCs/>
            <w:color w:val="0000FF"/>
            <w:u w:val="single"/>
            <w:lang w:val="ru-RU"/>
          </w:rPr>
          <w:t>Національного плану дій</w:t>
        </w:r>
        <w:r>
          <w:rPr>
            <w:rFonts w:ascii="Times New Roman" w:eastAsiaTheme="minorEastAsia" w:hAnsi="Times New Roman" w:cstheme="minorHAnsi"/>
            <w:iCs/>
            <w:color w:val="0000FF"/>
            <w:u w:val="single"/>
            <w:lang w:val="ru-RU"/>
          </w:rPr>
          <w:t xml:space="preserve"> з енергоефективності на період до 2030 року</w:t>
        </w:r>
      </w:hyperlink>
      <w:r>
        <w:rPr>
          <w:rFonts w:ascii="Times New Roman" w:eastAsiaTheme="minorEastAsia" w:hAnsi="Times New Roman" w:cstheme="minorHAnsi"/>
          <w:iCs/>
          <w:color w:val="000000"/>
          <w:lang w:val="ru-RU"/>
        </w:rPr>
        <w:t>, схваленого розпорядженням Кабінету Міністрів України від 29 грудня 2021 р. № 1803-р;</w:t>
      </w:r>
    </w:p>
    <w:p w:rsidR="00275E65" w:rsidRDefault="00902217">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76" w:lineRule="auto"/>
        <w:ind w:left="0" w:firstLine="851"/>
        <w:jc w:val="both"/>
        <w:rPr>
          <w:rFonts w:ascii="Times New Roman" w:eastAsia="Times New Roman" w:hAnsi="Times New Roman" w:cs="Times New Roman"/>
          <w:iCs/>
          <w:color w:val="000000"/>
          <w:lang w:val="ru-RU"/>
        </w:rPr>
      </w:pPr>
      <w:hyperlink r:id="rId78" w:anchor="Text" w:tooltip="https://zakon.rada.gov.ua/laws/show/430-2018-%D1%80#Text" w:history="1">
        <w:r>
          <w:rPr>
            <w:rFonts w:ascii="Times New Roman" w:eastAsiaTheme="minorEastAsia" w:hAnsi="Times New Roman" w:cstheme="minorHAnsi"/>
            <w:iCs/>
            <w:color w:val="0000FF"/>
            <w:u w:val="single"/>
            <w:lang w:val="ru-RU"/>
          </w:rPr>
          <w:t>Національної транспортної стратегії України на період до 2030 року</w:t>
        </w:r>
      </w:hyperlink>
      <w:r>
        <w:rPr>
          <w:rFonts w:ascii="Times New Roman" w:eastAsiaTheme="minorEastAsia" w:hAnsi="Times New Roman" w:cstheme="minorHAnsi"/>
          <w:iCs/>
          <w:color w:val="000000"/>
          <w:lang w:val="ru-RU"/>
        </w:rPr>
        <w:t>, схваленої розпорядженням Кабінету Міністрів України від 30 травня 2018 р. № 430-р;</w:t>
      </w:r>
    </w:p>
    <w:p w:rsidR="00275E65" w:rsidRDefault="00902217">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76" w:lineRule="auto"/>
        <w:ind w:left="0" w:firstLine="851"/>
        <w:jc w:val="both"/>
        <w:rPr>
          <w:rFonts w:ascii="Times New Roman" w:eastAsia="Times New Roman" w:hAnsi="Times New Roman" w:cs="Times New Roman"/>
          <w:iCs/>
          <w:color w:val="000000"/>
          <w:lang w:val="ru-RU"/>
        </w:rPr>
      </w:pPr>
      <w:hyperlink r:id="rId79" w:anchor="Text" w:tooltip="https://zakon.rada.gov.ua/laws/show/868-2021-%D1%80#Text" w:history="1">
        <w:r>
          <w:rPr>
            <w:rFonts w:ascii="Times New Roman" w:eastAsiaTheme="minorEastAsia" w:hAnsi="Times New Roman" w:cstheme="minorHAnsi"/>
            <w:iCs/>
            <w:color w:val="0000FF"/>
            <w:u w:val="single"/>
            <w:lang w:val="ru-RU"/>
          </w:rPr>
          <w:t>Оновленого національного визначеного внеску України до Паризької Угоди</w:t>
        </w:r>
      </w:hyperlink>
      <w:r>
        <w:rPr>
          <w:rFonts w:ascii="Times New Roman" w:eastAsiaTheme="minorEastAsia" w:hAnsi="Times New Roman" w:cstheme="minorHAnsi"/>
          <w:iCs/>
          <w:color w:val="000000"/>
          <w:lang w:val="ru-RU"/>
        </w:rPr>
        <w:t>, схваленого розпорядженням Кабінету Міністрів України від 30 липня 2021 р. № 868-р;</w:t>
      </w:r>
    </w:p>
    <w:p w:rsidR="00275E65" w:rsidRDefault="00902217">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76" w:lineRule="auto"/>
        <w:ind w:left="0" w:firstLine="851"/>
        <w:jc w:val="both"/>
        <w:rPr>
          <w:rFonts w:ascii="Times New Roman" w:eastAsia="Times New Roman" w:hAnsi="Times New Roman" w:cs="Times New Roman"/>
          <w:iCs/>
          <w:color w:val="000000"/>
          <w:lang w:val="ru-RU"/>
        </w:rPr>
      </w:pPr>
      <w:r>
        <w:rPr>
          <w:rFonts w:ascii="Times New Roman" w:eastAsiaTheme="minorEastAsia" w:hAnsi="Times New Roman" w:cstheme="minorHAnsi"/>
          <w:iCs/>
          <w:color w:val="0000FF"/>
          <w:u w:val="single"/>
          <w:lang w:val="ru-RU"/>
        </w:rPr>
        <w:t>Цілей сталого розвитку України до 2030 року</w:t>
      </w:r>
      <w:r>
        <w:rPr>
          <w:rFonts w:ascii="Times New Roman" w:eastAsiaTheme="minorEastAsia" w:hAnsi="Times New Roman" w:cstheme="minorHAnsi"/>
          <w:iCs/>
          <w:color w:val="000000"/>
          <w:lang w:val="ru-RU"/>
        </w:rPr>
        <w:t>, затвер</w:t>
      </w:r>
      <w:r>
        <w:rPr>
          <w:rFonts w:ascii="Times New Roman" w:eastAsiaTheme="minorEastAsia" w:hAnsi="Times New Roman" w:cstheme="minorHAnsi"/>
          <w:iCs/>
          <w:color w:val="000000"/>
          <w:lang w:val="ru-RU"/>
        </w:rPr>
        <w:t>джених Указом Президента України від 30 вересня 2019 року № 722/2019;</w:t>
      </w:r>
    </w:p>
    <w:p w:rsidR="00275E65" w:rsidRDefault="00902217">
      <w:pPr>
        <w:pStyle w:val="aff0"/>
        <w:numPr>
          <w:ilvl w:val="0"/>
          <w:numId w:val="25"/>
        </w:numPr>
        <w:tabs>
          <w:tab w:val="left" w:pos="993"/>
          <w:tab w:val="left" w:pos="1134"/>
        </w:tabs>
        <w:spacing w:after="0" w:line="276" w:lineRule="auto"/>
        <w:ind w:left="0" w:firstLine="851"/>
        <w:jc w:val="both"/>
        <w:rPr>
          <w:rFonts w:ascii="Times New Roman" w:eastAsia="Times New Roman" w:hAnsi="Times New Roman" w:cs="Times New Roman"/>
          <w:iCs/>
          <w:color w:val="000000"/>
          <w:lang w:val="ru-RU"/>
        </w:rPr>
      </w:pPr>
      <w:r>
        <w:rPr>
          <w:rFonts w:ascii="Times New Roman" w:eastAsiaTheme="minorEastAsia" w:hAnsi="Times New Roman" w:cstheme="minorHAnsi"/>
          <w:iCs/>
          <w:color w:val="000000"/>
          <w:lang w:val="ru-RU"/>
        </w:rPr>
        <w:t>інших програмних документів, схвалених (затверджених) Кабінетом Міністрів України, у сферах забезпечення енергетичної ефективності, розвитку енергетики (у тому числі відновлюваної енерге</w:t>
      </w:r>
      <w:r>
        <w:rPr>
          <w:rFonts w:ascii="Times New Roman" w:eastAsiaTheme="minorEastAsia" w:hAnsi="Times New Roman" w:cstheme="minorHAnsi"/>
          <w:iCs/>
          <w:color w:val="000000"/>
          <w:lang w:val="ru-RU"/>
        </w:rPr>
        <w:t>тики), економіки, сталого розвитку та охорони навколишнього природного середовища;</w:t>
      </w:r>
    </w:p>
    <w:p w:rsidR="00275E65" w:rsidRDefault="00902217">
      <w:pPr>
        <w:pStyle w:val="aff0"/>
        <w:numPr>
          <w:ilvl w:val="0"/>
          <w:numId w:val="25"/>
        </w:numPr>
        <w:tabs>
          <w:tab w:val="left" w:pos="993"/>
          <w:tab w:val="left" w:pos="1134"/>
        </w:tabs>
        <w:spacing w:after="0" w:line="276" w:lineRule="auto"/>
        <w:ind w:left="0" w:firstLine="851"/>
        <w:jc w:val="both"/>
        <w:rPr>
          <w:rFonts w:ascii="Times New Roman" w:eastAsia="Times New Roman" w:hAnsi="Times New Roman" w:cs="Times New Roman"/>
          <w:iCs/>
          <w:color w:val="000000"/>
          <w:lang w:val="ru-RU"/>
        </w:rPr>
      </w:pPr>
      <w:r>
        <w:rPr>
          <w:rFonts w:ascii="Times New Roman" w:eastAsiaTheme="minorEastAsia" w:hAnsi="Times New Roman" w:cstheme="minorHAnsi"/>
          <w:iCs/>
          <w:color w:val="000000"/>
          <w:lang w:val="ru-RU"/>
        </w:rPr>
        <w:t>стратегій розвитку області та територіальної громади, місцевих містобудівних програм, генеральних планів забудови відповідних населених пунктів, комплексних планів просторов</w:t>
      </w:r>
      <w:r>
        <w:rPr>
          <w:rFonts w:ascii="Times New Roman" w:eastAsiaTheme="minorEastAsia" w:hAnsi="Times New Roman" w:cstheme="minorHAnsi"/>
          <w:iCs/>
          <w:color w:val="000000"/>
          <w:lang w:val="ru-RU"/>
        </w:rPr>
        <w:t>ого розвитку територій територіальних громад, затверджених відповідно до</w:t>
      </w:r>
      <w:r>
        <w:rPr>
          <w:rFonts w:ascii="Times New Roman" w:eastAsiaTheme="minorEastAsia" w:hAnsi="Times New Roman" w:cstheme="minorHAnsi"/>
          <w:iCs/>
          <w:color w:val="000000"/>
        </w:rPr>
        <w:t> </w:t>
      </w:r>
      <w:r>
        <w:rPr>
          <w:rFonts w:ascii="Times New Roman" w:eastAsiaTheme="minorEastAsia" w:hAnsi="Times New Roman" w:cstheme="minorHAnsi"/>
          <w:iCs/>
          <w:color w:val="000000"/>
          <w:lang w:val="ru-RU"/>
        </w:rPr>
        <w:t>законодавства.</w:t>
      </w:r>
    </w:p>
    <w:p w:rsidR="00275E65" w:rsidRDefault="00902217">
      <w:pPr>
        <w:tabs>
          <w:tab w:val="left" w:pos="851"/>
        </w:tabs>
        <w:spacing w:after="0" w:line="276" w:lineRule="auto"/>
        <w:ind w:firstLine="851"/>
        <w:jc w:val="both"/>
        <w:rPr>
          <w:rFonts w:ascii="Times New Roman" w:eastAsia="Times New Roman" w:hAnsi="Times New Roman" w:cs="Times New Roman"/>
          <w:iCs/>
          <w:color w:val="000000"/>
          <w:lang w:val="ru-RU"/>
        </w:rPr>
      </w:pPr>
      <w:r>
        <w:rPr>
          <w:rFonts w:ascii="Times New Roman" w:eastAsiaTheme="minorEastAsia" w:hAnsi="Times New Roman" w:cstheme="minorHAnsi"/>
          <w:iCs/>
          <w:color w:val="000000"/>
          <w:lang w:val="ru-RU"/>
        </w:rPr>
        <w:tab/>
        <w:t xml:space="preserve">Розроблення проекту місцевого енергетичного плану </w:t>
      </w:r>
      <w:r>
        <w:rPr>
          <w:rFonts w:ascii="Times New Roman" w:eastAsiaTheme="minorEastAsia" w:hAnsi="Times New Roman" w:cstheme="minorHAnsi"/>
          <w:iCs/>
          <w:lang w:val="ru-RU"/>
        </w:rPr>
        <w:t>взаємо узгоджується</w:t>
      </w:r>
      <w:r>
        <w:rPr>
          <w:rFonts w:ascii="Times New Roman" w:eastAsiaTheme="minorEastAsia" w:hAnsi="Times New Roman" w:cstheme="minorHAnsi"/>
          <w:iCs/>
          <w:color w:val="000000"/>
          <w:lang w:val="ru-RU"/>
        </w:rPr>
        <w:t xml:space="preserve"> зі містобудівною документацією, яка визначає планування територій на державному, регіональному та</w:t>
      </w:r>
      <w:r>
        <w:rPr>
          <w:rFonts w:ascii="Times New Roman" w:eastAsiaTheme="minorEastAsia" w:hAnsi="Times New Roman" w:cstheme="minorHAnsi"/>
          <w:iCs/>
          <w:color w:val="000000"/>
          <w:lang w:val="ru-RU"/>
        </w:rPr>
        <w:t xml:space="preserve"> місцевому рівнях, схемами теплопостачання населених пунктів.</w:t>
      </w: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902217">
      <w:pPr>
        <w:tabs>
          <w:tab w:val="left" w:pos="709"/>
        </w:tabs>
        <w:spacing w:after="0" w:line="276" w:lineRule="auto"/>
        <w:ind w:firstLine="851"/>
        <w:jc w:val="both"/>
        <w:rPr>
          <w:rFonts w:ascii="Times New Roman" w:hAnsi="Times New Roman" w:cs="Times New Roman"/>
          <w:lang w:val="ru-RU"/>
        </w:rPr>
      </w:pPr>
      <w:r>
        <w:rPr>
          <w:rFonts w:ascii="Times New Roman" w:eastAsiaTheme="minorEastAsia" w:hAnsi="Times New Roman" w:cstheme="minorHAnsi"/>
          <w:lang w:val="uk-UA"/>
        </w:rPr>
        <w:t>Додаток 2. Приклади з</w:t>
      </w:r>
      <w:r>
        <w:rPr>
          <w:rFonts w:ascii="Times New Roman" w:eastAsiaTheme="minorEastAsia" w:hAnsi="Times New Roman" w:cstheme="minorHAnsi"/>
          <w:lang w:val="ru-RU"/>
        </w:rPr>
        <w:t>апит</w:t>
      </w:r>
      <w:r>
        <w:rPr>
          <w:rFonts w:ascii="Times New Roman" w:eastAsiaTheme="minorEastAsia" w:hAnsi="Times New Roman" w:cstheme="minorHAnsi"/>
          <w:lang w:val="uk-UA"/>
        </w:rPr>
        <w:t>ів</w:t>
      </w:r>
      <w:r>
        <w:rPr>
          <w:rFonts w:ascii="Times New Roman" w:eastAsiaTheme="minorEastAsia" w:hAnsi="Times New Roman" w:cstheme="minorHAnsi"/>
          <w:lang w:val="ru-RU"/>
        </w:rPr>
        <w:t xml:space="preserve"> та відповід</w:t>
      </w:r>
      <w:r>
        <w:rPr>
          <w:rFonts w:ascii="Times New Roman" w:eastAsiaTheme="minorEastAsia" w:hAnsi="Times New Roman" w:cstheme="minorHAnsi"/>
          <w:lang w:val="uk-UA"/>
        </w:rPr>
        <w:t>ей</w:t>
      </w:r>
      <w:r>
        <w:rPr>
          <w:rFonts w:ascii="Times New Roman" w:eastAsiaTheme="minorEastAsia" w:hAnsi="Times New Roman" w:cstheme="minorHAnsi"/>
          <w:lang w:val="ru-RU"/>
        </w:rPr>
        <w:t xml:space="preserve"> на отримання вихідної інформації для розробки МЕП</w:t>
      </w:r>
    </w:p>
    <w:p w:rsidR="00275E65" w:rsidRDefault="00275E65">
      <w:pPr>
        <w:tabs>
          <w:tab w:val="left" w:pos="709"/>
        </w:tabs>
        <w:spacing w:after="0" w:line="276" w:lineRule="auto"/>
        <w:ind w:firstLine="851"/>
        <w:jc w:val="both"/>
        <w:rPr>
          <w:rFonts w:ascii="Times New Roman" w:hAnsi="Times New Roman" w:cs="Times New Roman"/>
          <w:lang w:val="ru-RU"/>
        </w:rPr>
      </w:pPr>
    </w:p>
    <w:p w:rsidR="00275E65" w:rsidRDefault="00902217">
      <w:pPr>
        <w:tabs>
          <w:tab w:val="left" w:pos="709"/>
        </w:tabs>
        <w:spacing w:after="0" w:line="276" w:lineRule="auto"/>
        <w:ind w:firstLine="567"/>
        <w:jc w:val="center"/>
        <w:rPr>
          <w:rFonts w:ascii="Times New Roman" w:hAnsi="Times New Roman" w:cs="Times New Roman"/>
          <w:lang w:val="uk-UA"/>
        </w:rPr>
      </w:pPr>
      <w:r>
        <w:rPr>
          <w:rFonts w:ascii="Times New Roman" w:eastAsiaTheme="minorEastAsia" w:hAnsi="Times New Roman" w:cstheme="minorHAnsi"/>
          <w:noProof/>
          <w:lang w:val="ru-RU" w:eastAsia="ru-RU"/>
        </w:rPr>
        <mc:AlternateContent>
          <mc:Choice Requires="wpg">
            <w:drawing>
              <wp:inline distT="0" distB="0" distL="0" distR="0">
                <wp:extent cx="3696020" cy="5364945"/>
                <wp:effectExtent l="0" t="0" r="0" b="762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80"/>
                        <a:stretch/>
                      </pic:blipFill>
                      <pic:spPr bwMode="auto">
                        <a:xfrm>
                          <a:off x="0" y="0"/>
                          <a:ext cx="3696020" cy="536494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291.0pt;height:422.4pt;" stroked="false">
                <v:path textboxrect="0,0,0,0"/>
                <v:imagedata r:id="rId81" o:title=""/>
              </v:shape>
            </w:pict>
          </mc:Fallback>
        </mc:AlternateContent>
      </w:r>
    </w:p>
    <w:p w:rsidR="00275E65" w:rsidRDefault="00275E65">
      <w:pPr>
        <w:tabs>
          <w:tab w:val="left" w:pos="709"/>
        </w:tabs>
        <w:spacing w:after="0" w:line="276" w:lineRule="auto"/>
        <w:ind w:firstLine="567"/>
        <w:jc w:val="both"/>
        <w:rPr>
          <w:rFonts w:ascii="Times New Roman" w:hAnsi="Times New Roman" w:cs="Times New Roman"/>
          <w:lang w:val="uk-UA"/>
        </w:rPr>
      </w:pPr>
    </w:p>
    <w:p w:rsidR="00275E65" w:rsidRDefault="00902217">
      <w:pPr>
        <w:tabs>
          <w:tab w:val="left" w:pos="709"/>
        </w:tabs>
        <w:spacing w:after="0" w:line="276" w:lineRule="auto"/>
        <w:ind w:firstLine="567"/>
        <w:jc w:val="center"/>
        <w:rPr>
          <w:rFonts w:ascii="Times New Roman" w:hAnsi="Times New Roman" w:cs="Times New Roman"/>
          <w:lang w:val="uk-UA"/>
        </w:rPr>
      </w:pPr>
      <w:r>
        <w:rPr>
          <w:rFonts w:ascii="Times New Roman" w:eastAsiaTheme="minorEastAsia" w:hAnsi="Times New Roman" w:cstheme="minorHAnsi"/>
          <w:noProof/>
          <w:lang w:val="ru-RU" w:eastAsia="ru-RU"/>
        </w:rPr>
        <mc:AlternateContent>
          <mc:Choice Requires="wpg">
            <w:drawing>
              <wp:inline distT="0" distB="0" distL="0" distR="0">
                <wp:extent cx="3421677" cy="4839119"/>
                <wp:effectExtent l="0" t="0" r="7620" b="0"/>
                <wp:docPr id="6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82"/>
                        <a:stretch/>
                      </pic:blipFill>
                      <pic:spPr bwMode="auto">
                        <a:xfrm>
                          <a:off x="0" y="0"/>
                          <a:ext cx="3421677" cy="483911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269.4pt;height:381.0pt;" stroked="false">
                <v:path textboxrect="0,0,0,0"/>
                <v:imagedata r:id="rId83" o:title=""/>
              </v:shape>
            </w:pict>
          </mc:Fallback>
        </mc:AlternateContent>
      </w:r>
    </w:p>
    <w:p w:rsidR="00275E65" w:rsidRDefault="00275E65">
      <w:pPr>
        <w:tabs>
          <w:tab w:val="left" w:pos="709"/>
        </w:tabs>
        <w:spacing w:after="0" w:line="276" w:lineRule="auto"/>
        <w:ind w:firstLine="567"/>
        <w:jc w:val="center"/>
        <w:rPr>
          <w:rFonts w:ascii="Times New Roman" w:hAnsi="Times New Roman" w:cs="Times New Roman"/>
          <w:lang w:val="uk-UA"/>
        </w:rPr>
      </w:pPr>
    </w:p>
    <w:p w:rsidR="00275E65" w:rsidRDefault="00275E65">
      <w:pPr>
        <w:tabs>
          <w:tab w:val="left" w:pos="709"/>
        </w:tabs>
        <w:spacing w:after="0" w:line="276" w:lineRule="auto"/>
        <w:ind w:firstLine="567"/>
        <w:jc w:val="center"/>
        <w:rPr>
          <w:rFonts w:ascii="Times New Roman" w:hAnsi="Times New Roman" w:cs="Times New Roman"/>
          <w:lang w:val="uk-UA"/>
        </w:rPr>
      </w:pPr>
    </w:p>
    <w:p w:rsidR="00275E65" w:rsidRDefault="00275E65">
      <w:pPr>
        <w:tabs>
          <w:tab w:val="left" w:pos="709"/>
        </w:tabs>
        <w:spacing w:after="0" w:line="276" w:lineRule="auto"/>
        <w:ind w:firstLine="567"/>
        <w:jc w:val="center"/>
        <w:rPr>
          <w:rFonts w:ascii="Times New Roman" w:hAnsi="Times New Roman" w:cs="Times New Roman"/>
          <w:lang w:val="uk-UA"/>
        </w:rPr>
      </w:pPr>
    </w:p>
    <w:p w:rsidR="00275E65" w:rsidRDefault="00275E65">
      <w:pPr>
        <w:tabs>
          <w:tab w:val="left" w:pos="709"/>
        </w:tabs>
        <w:spacing w:after="0" w:line="276" w:lineRule="auto"/>
        <w:ind w:firstLine="567"/>
        <w:jc w:val="center"/>
        <w:rPr>
          <w:rFonts w:ascii="Times New Roman" w:hAnsi="Times New Roman" w:cs="Times New Roman"/>
          <w:lang w:val="uk-UA"/>
        </w:rPr>
      </w:pPr>
    </w:p>
    <w:p w:rsidR="00275E65" w:rsidRDefault="00902217">
      <w:pPr>
        <w:tabs>
          <w:tab w:val="left" w:pos="709"/>
        </w:tabs>
        <w:spacing w:after="0" w:line="276" w:lineRule="auto"/>
        <w:ind w:firstLine="851"/>
        <w:jc w:val="both"/>
        <w:rPr>
          <w:rFonts w:ascii="Times New Roman" w:hAnsi="Times New Roman" w:cs="Times New Roman"/>
          <w:lang w:val="uk-UA"/>
        </w:rPr>
      </w:pPr>
      <w:r>
        <w:rPr>
          <w:rFonts w:ascii="Times New Roman" w:eastAsiaTheme="minorEastAsia" w:hAnsi="Times New Roman" w:cstheme="minorHAnsi"/>
          <w:lang w:val="uk-UA"/>
        </w:rPr>
        <w:t xml:space="preserve">Додаток 3. </w:t>
      </w:r>
      <w:r>
        <w:rPr>
          <w:rFonts w:ascii="Times New Roman" w:eastAsiaTheme="minorEastAsia" w:hAnsi="Times New Roman" w:cstheme="minorHAnsi"/>
          <w:lang w:val="uk-UA"/>
        </w:rPr>
        <w:t>Розрахунки  термомодернізації бюджетних будівель  Носівської громади</w:t>
      </w:r>
    </w:p>
    <w:p w:rsidR="00275E65" w:rsidRDefault="00902217">
      <w:pPr>
        <w:pStyle w:val="ArHead3"/>
        <w:numPr>
          <w:ilvl w:val="0"/>
          <w:numId w:val="0"/>
        </w:numPr>
        <w:ind w:left="709"/>
        <w:rPr>
          <w:szCs w:val="28"/>
        </w:rPr>
      </w:pPr>
      <w:bookmarkStart w:id="197" w:name="_Toc142653943"/>
      <w:bookmarkStart w:id="198" w:name="_Toc168064830"/>
      <w:r>
        <w:rPr>
          <w:rFonts w:eastAsiaTheme="minorEastAsia" w:cstheme="minorHAnsi"/>
          <w:szCs w:val="28"/>
          <w:lang w:eastAsia="en-GB"/>
        </w:rPr>
        <w:t>Заходи з термомодернізації</w:t>
      </w:r>
      <w:r>
        <w:rPr>
          <w:rFonts w:eastAsiaTheme="minorEastAsia" w:cstheme="minorHAnsi"/>
          <w:szCs w:val="28"/>
        </w:rPr>
        <w:t xml:space="preserve"> будів</w:t>
      </w:r>
      <w:bookmarkEnd w:id="197"/>
      <w:r>
        <w:rPr>
          <w:rFonts w:eastAsiaTheme="minorEastAsia" w:cstheme="minorHAnsi"/>
          <w:szCs w:val="28"/>
        </w:rPr>
        <w:t>ель</w:t>
      </w:r>
      <w:bookmarkEnd w:id="198"/>
    </w:p>
    <w:p w:rsidR="00275E65" w:rsidRDefault="00902217">
      <w:pPr>
        <w:spacing w:after="0" w:line="276" w:lineRule="auto"/>
        <w:ind w:firstLine="709"/>
        <w:jc w:val="both"/>
        <w:rPr>
          <w:rFonts w:ascii="Times New Roman" w:eastAsia="Verdana" w:hAnsi="Times New Roman" w:cs="Times New Roman"/>
          <w:color w:val="000000"/>
          <w:lang w:val="ru-RU" w:eastAsia="en-GB"/>
        </w:rPr>
      </w:pPr>
      <w:bookmarkStart w:id="199" w:name="_heading=h.2p2csry"/>
      <w:bookmarkEnd w:id="199"/>
      <w:r>
        <w:rPr>
          <w:rFonts w:ascii="Times New Roman" w:eastAsiaTheme="minorEastAsia" w:hAnsi="Times New Roman" w:cstheme="minorHAnsi"/>
          <w:color w:val="000000" w:themeColor="text1"/>
          <w:lang w:val="ru-RU" w:eastAsia="en-GB"/>
        </w:rPr>
        <w:t>Заходи з термомодернізації будівель передбачають:</w:t>
      </w:r>
    </w:p>
    <w:p w:rsidR="00275E65" w:rsidRDefault="00902217">
      <w:pPr>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themeColor="text1"/>
          <w:lang w:val="ru-RU" w:eastAsia="en-GB"/>
        </w:rPr>
        <w:t>- теплоізоляцію огороджувальних конструкцій будівель (стін, дахів, підвалів/підлог, віконних та дверних конструкцій);</w:t>
      </w:r>
    </w:p>
    <w:p w:rsidR="00275E65" w:rsidRDefault="00902217">
      <w:pPr>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themeColor="text1"/>
          <w:lang w:val="ru-RU" w:eastAsia="en-GB"/>
        </w:rPr>
        <w:t>- модернізацію/реконструкцію внутрішніх інженерних систем опалення (за потреби, включаючи ІТП), вентиляції, освітлення, тощо.</w:t>
      </w:r>
    </w:p>
    <w:p w:rsidR="00275E65" w:rsidRDefault="00902217">
      <w:pPr>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themeColor="text1"/>
          <w:lang w:val="ru-RU" w:eastAsia="en-GB"/>
        </w:rPr>
        <w:t>Ці заходи ма</w:t>
      </w:r>
      <w:r>
        <w:rPr>
          <w:rFonts w:ascii="Times New Roman" w:eastAsiaTheme="minorEastAsia" w:hAnsi="Times New Roman" w:cstheme="minorHAnsi"/>
          <w:color w:val="000000" w:themeColor="text1"/>
          <w:lang w:val="ru-RU" w:eastAsia="en-GB"/>
        </w:rPr>
        <w:t xml:space="preserve">ють значною мірою сприяти зменшенню споживання теплової енергії та призвести до високого класу енергоефективності будівлі, щонайменше класу С (у відповідності до вимог ДБН В.2.6-31:2021 «Теплова ізоляція та енергоефективність будівель»). Крім того, заходи </w:t>
      </w:r>
      <w:r>
        <w:rPr>
          <w:rFonts w:ascii="Times New Roman" w:eastAsiaTheme="minorEastAsia" w:hAnsi="Times New Roman" w:cstheme="minorHAnsi"/>
          <w:color w:val="000000" w:themeColor="text1"/>
          <w:lang w:val="ru-RU" w:eastAsia="en-GB"/>
        </w:rPr>
        <w:t xml:space="preserve">з термомодернізації збільшать термін експлуатації будівлі. </w:t>
      </w:r>
    </w:p>
    <w:p w:rsidR="00275E65" w:rsidRDefault="00902217">
      <w:pPr>
        <w:widowControl w:val="0"/>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themeColor="text1"/>
          <w:lang w:val="ru-RU" w:eastAsia="en-GB"/>
        </w:rPr>
        <w:t xml:space="preserve">Система теплоізоляції повинна: </w:t>
      </w:r>
    </w:p>
    <w:p w:rsidR="00275E65" w:rsidRDefault="00902217">
      <w:pPr>
        <w:widowControl w:val="0"/>
        <w:tabs>
          <w:tab w:val="left" w:pos="1170"/>
          <w:tab w:val="left" w:pos="1440"/>
        </w:tabs>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themeColor="text1"/>
          <w:lang w:val="ru-RU" w:eastAsia="en-GB"/>
        </w:rPr>
        <w:t>- забезпечити достатню термостійкість елемента оболонки будівлі та необхідну паростійкість нанесених шарів.</w:t>
      </w:r>
    </w:p>
    <w:p w:rsidR="00275E65" w:rsidRDefault="00902217">
      <w:pPr>
        <w:widowControl w:val="0"/>
        <w:tabs>
          <w:tab w:val="left" w:pos="1170"/>
          <w:tab w:val="left" w:pos="1440"/>
        </w:tabs>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themeColor="text1"/>
          <w:lang w:val="ru-RU" w:eastAsia="en-GB"/>
        </w:rPr>
        <w:t>- відповідати вимогам до міцності та деформацій,</w:t>
      </w:r>
    </w:p>
    <w:p w:rsidR="00275E65" w:rsidRDefault="00902217">
      <w:pPr>
        <w:widowControl w:val="0"/>
        <w:tabs>
          <w:tab w:val="left" w:pos="1170"/>
          <w:tab w:val="left" w:pos="1440"/>
        </w:tabs>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themeColor="text1"/>
          <w:lang w:val="ru-RU" w:eastAsia="en-GB"/>
        </w:rPr>
        <w:t>- відпо</w:t>
      </w:r>
      <w:r>
        <w:rPr>
          <w:rFonts w:ascii="Times New Roman" w:eastAsiaTheme="minorEastAsia" w:hAnsi="Times New Roman" w:cstheme="minorHAnsi"/>
          <w:color w:val="000000" w:themeColor="text1"/>
          <w:lang w:val="ru-RU" w:eastAsia="en-GB"/>
        </w:rPr>
        <w:t>відати вимогам пожежної та екологічної безпеки.</w:t>
      </w:r>
    </w:p>
    <w:p w:rsidR="00275E65" w:rsidRDefault="00902217">
      <w:pPr>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themeColor="text1"/>
          <w:lang w:val="ru-RU" w:eastAsia="en-GB"/>
        </w:rPr>
        <w:t>Анкерне кріплення теплоізоляції повинно здійснюватися відповідно до вимог виробника.</w:t>
      </w:r>
    </w:p>
    <w:p w:rsidR="00275E65" w:rsidRDefault="00902217">
      <w:pPr>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themeColor="text1"/>
          <w:lang w:val="ru-RU" w:eastAsia="en-GB"/>
        </w:rPr>
        <w:t>Подані нижче описи надають більш детальну інформацію про заплановані заходи з енергоефективності, пов'язані з огороджувальн</w:t>
      </w:r>
      <w:r>
        <w:rPr>
          <w:rFonts w:ascii="Times New Roman" w:eastAsiaTheme="minorEastAsia" w:hAnsi="Times New Roman" w:cstheme="minorHAnsi"/>
          <w:color w:val="000000" w:themeColor="text1"/>
          <w:lang w:val="ru-RU" w:eastAsia="en-GB"/>
        </w:rPr>
        <w:t>ими конструкціями будівель. Заходи з теплоізоляції огороджувальних конструкцій будівель покликані привести фізичні властивості елементів будівель до рівнів, що відповідають вимогам законодавства України</w:t>
      </w:r>
      <w:r>
        <w:rPr>
          <w:rFonts w:ascii="Times New Roman" w:eastAsiaTheme="minorEastAsia" w:hAnsi="Times New Roman" w:cstheme="minorHAnsi"/>
          <w:color w:val="000000" w:themeColor="text1"/>
          <w:vertAlign w:val="superscript"/>
          <w:lang w:eastAsia="en-GB"/>
        </w:rPr>
        <w:footnoteReference w:id="3"/>
      </w:r>
      <w:r>
        <w:rPr>
          <w:rFonts w:ascii="Times New Roman" w:eastAsiaTheme="minorEastAsia" w:hAnsi="Times New Roman" w:cstheme="minorHAnsi"/>
          <w:color w:val="000000" w:themeColor="text1"/>
          <w:lang w:val="ru-RU" w:eastAsia="en-GB"/>
        </w:rPr>
        <w:t>.</w:t>
      </w:r>
    </w:p>
    <w:p w:rsidR="00275E65" w:rsidRDefault="00902217">
      <w:pPr>
        <w:pStyle w:val="ArHead3"/>
        <w:numPr>
          <w:ilvl w:val="0"/>
          <w:numId w:val="0"/>
        </w:numPr>
        <w:spacing w:after="0" w:line="276" w:lineRule="auto"/>
        <w:ind w:firstLine="709"/>
        <w:rPr>
          <w:rFonts w:ascii="Times New Roman" w:eastAsia="Verdana" w:hAnsi="Times New Roman" w:cs="Times New Roman"/>
          <w:color w:val="000000"/>
          <w:sz w:val="22"/>
          <w:u w:val="single"/>
          <w:lang w:eastAsia="en-GB"/>
        </w:rPr>
      </w:pPr>
      <w:bookmarkStart w:id="200" w:name="_Toc142653600"/>
      <w:bookmarkStart w:id="201" w:name="_Toc142653944"/>
      <w:bookmarkStart w:id="202" w:name="_Toc168064831"/>
      <w:r>
        <w:rPr>
          <w:rFonts w:ascii="Times New Roman" w:eastAsiaTheme="minorEastAsia" w:hAnsi="Times New Roman" w:cstheme="minorHAnsi"/>
          <w:color w:val="000000" w:themeColor="text1"/>
          <w:sz w:val="22"/>
          <w:u w:val="single"/>
          <w:lang w:eastAsia="en-GB"/>
        </w:rPr>
        <w:t>Зовнішні стіни</w:t>
      </w:r>
      <w:bookmarkEnd w:id="200"/>
      <w:bookmarkEnd w:id="201"/>
      <w:bookmarkEnd w:id="202"/>
    </w:p>
    <w:p w:rsidR="00275E65" w:rsidRDefault="00902217">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xml:space="preserve">Технічні характеристики теплоізоляції зовнішніх стін: </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матеріал теплоізоляції: мінеральна вата;</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теплопровідність матеріалу (максимальне значення): 0,045 Вт/(м × К);</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щільність мінеральної вати: не менше 145 кг/м</w:t>
      </w:r>
      <w:r>
        <w:rPr>
          <w:rFonts w:ascii="Times New Roman" w:eastAsiaTheme="minorEastAsia" w:hAnsi="Times New Roman" w:cstheme="minorHAnsi"/>
          <w:color w:val="000000"/>
          <w:vertAlign w:val="superscript"/>
          <w:lang w:val="ru-RU" w:eastAsia="en-GB"/>
        </w:rPr>
        <w:t>3</w:t>
      </w:r>
      <w:r>
        <w:rPr>
          <w:rFonts w:ascii="Times New Roman" w:eastAsiaTheme="minorEastAsia" w:hAnsi="Times New Roman" w:cstheme="minorHAnsi"/>
          <w:color w:val="000000"/>
          <w:lang w:val="ru-RU" w:eastAsia="en-GB"/>
        </w:rPr>
        <w:t>;</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Товщина шара утеплювача повинна бути уточнена під час розробки ПКД в ході виконання теплотехнічних розрахунків (з врахуванням теплопровідних включень).</w:t>
      </w:r>
    </w:p>
    <w:p w:rsidR="00275E65" w:rsidRDefault="00902217">
      <w:pPr>
        <w:spacing w:after="0" w:line="276" w:lineRule="auto"/>
        <w:ind w:firstLine="709"/>
        <w:jc w:val="both"/>
        <w:rPr>
          <w:rFonts w:ascii="Times New Roman" w:eastAsia="Verdana" w:hAnsi="Times New Roman" w:cs="Times New Roman"/>
          <w:lang w:eastAsia="en-GB"/>
        </w:rPr>
      </w:pPr>
      <w:r>
        <w:rPr>
          <w:rFonts w:ascii="Times New Roman" w:eastAsiaTheme="minorEastAsia" w:hAnsi="Times New Roman" w:cstheme="minorHAnsi"/>
          <w:lang w:eastAsia="en-GB"/>
        </w:rPr>
        <w:t xml:space="preserve">Коментарі/вимоги: </w:t>
      </w:r>
    </w:p>
    <w:p w:rsidR="00275E65" w:rsidRDefault="00902217">
      <w:pPr>
        <w:pStyle w:val="aff0"/>
        <w:numPr>
          <w:ilvl w:val="0"/>
          <w:numId w:val="27"/>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left="0"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встановлення теплоізоляції: після очищення та підготовки поверхонь, відповідно до вим</w:t>
      </w:r>
      <w:r>
        <w:rPr>
          <w:rFonts w:ascii="Times New Roman" w:eastAsiaTheme="minorEastAsia" w:hAnsi="Times New Roman" w:cstheme="minorHAnsi"/>
          <w:color w:val="000000"/>
          <w:lang w:val="ru-RU" w:eastAsia="en-GB"/>
        </w:rPr>
        <w:t>ог виробника та нормативних будівельних актів, що регламентують технологію виконання утеплення;</w:t>
      </w:r>
    </w:p>
    <w:p w:rsidR="00275E65" w:rsidRDefault="00902217">
      <w:pPr>
        <w:pStyle w:val="aff0"/>
        <w:numPr>
          <w:ilvl w:val="0"/>
          <w:numId w:val="27"/>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left="0"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кріплення теплоізоляції  повинно проводитися відповідно до вимог виробника (які надає виробник) та нормативних будівельних актів, що регламентують технологію ви</w:t>
      </w:r>
      <w:r>
        <w:rPr>
          <w:rFonts w:ascii="Times New Roman" w:eastAsiaTheme="minorEastAsia" w:hAnsi="Times New Roman" w:cstheme="minorHAnsi"/>
          <w:color w:val="000000"/>
          <w:lang w:val="ru-RU" w:eastAsia="en-GB"/>
        </w:rPr>
        <w:t>конання утеплення;</w:t>
      </w:r>
    </w:p>
    <w:p w:rsidR="00275E65" w:rsidRDefault="00902217">
      <w:pPr>
        <w:pStyle w:val="aff0"/>
        <w:numPr>
          <w:ilvl w:val="0"/>
          <w:numId w:val="27"/>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left="0"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необхідно використовувати відповідні матеріали (штукатурку, сітку тощо) згідно зі специфікацією виробника та діючих будівельно-нормативних актів;</w:t>
      </w:r>
    </w:p>
    <w:p w:rsidR="00275E65" w:rsidRDefault="00902217">
      <w:pPr>
        <w:pStyle w:val="aff0"/>
        <w:numPr>
          <w:ilvl w:val="0"/>
          <w:numId w:val="27"/>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left="0" w:firstLine="709"/>
        <w:jc w:val="both"/>
        <w:rPr>
          <w:rFonts w:ascii="Times New Roman" w:eastAsia="Verdana" w:hAnsi="Times New Roman" w:cs="Times New Roman"/>
          <w:color w:val="000000"/>
          <w:lang w:val="ru-RU" w:eastAsia="en-GB"/>
        </w:rPr>
      </w:pPr>
      <w:bookmarkStart w:id="203" w:name="_heading=h.147n2zr"/>
      <w:bookmarkEnd w:id="203"/>
      <w:r>
        <w:rPr>
          <w:rFonts w:ascii="Times New Roman" w:eastAsiaTheme="minorEastAsia" w:hAnsi="Times New Roman" w:cstheme="minorHAnsi"/>
          <w:color w:val="000000"/>
          <w:lang w:val="ru-RU" w:eastAsia="en-GB"/>
        </w:rPr>
        <w:t>оздоблення: відповідно до вимог місцевих органів влади (якщо такі є) або відповідно до вимо</w:t>
      </w:r>
      <w:r>
        <w:rPr>
          <w:rFonts w:ascii="Times New Roman" w:eastAsiaTheme="minorEastAsia" w:hAnsi="Times New Roman" w:cstheme="minorHAnsi"/>
          <w:color w:val="000000"/>
          <w:lang w:val="ru-RU" w:eastAsia="en-GB"/>
        </w:rPr>
        <w:t>г інвестора.</w:t>
      </w:r>
    </w:p>
    <w:p w:rsidR="00275E65" w:rsidRDefault="00902217">
      <w:pPr>
        <w:widowControl w:val="0"/>
        <w:spacing w:after="0" w:line="276" w:lineRule="auto"/>
        <w:ind w:firstLine="709"/>
        <w:jc w:val="both"/>
        <w:rPr>
          <w:rFonts w:ascii="Times New Roman" w:eastAsia="Verdana" w:hAnsi="Times New Roman" w:cs="Times New Roman"/>
          <w:color w:val="000000"/>
          <w:lang w:val="ru-RU" w:eastAsia="en-GB"/>
        </w:rPr>
      </w:pPr>
      <w:bookmarkStart w:id="204" w:name="_Hlk13129808"/>
      <w:bookmarkStart w:id="205" w:name="_Toc142653601"/>
      <w:bookmarkStart w:id="206" w:name="_Toc142653945"/>
      <w:r>
        <w:rPr>
          <w:rFonts w:ascii="Times New Roman" w:eastAsiaTheme="minorEastAsia" w:hAnsi="Times New Roman" w:cstheme="minorHAnsi"/>
          <w:color w:val="000000"/>
          <w:lang w:val="ru-RU" w:eastAsia="en-GB"/>
        </w:rPr>
        <w:t>Схеми утеплення стін в різних рішеннях наведено нижче:</w:t>
      </w:r>
      <w:bookmarkEnd w:id="204"/>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75E65">
        <w:tc>
          <w:tcPr>
            <w:tcW w:w="4672" w:type="dxa"/>
          </w:tcPr>
          <w:p w:rsidR="00275E65" w:rsidRDefault="00902217">
            <w:pPr>
              <w:widowControl w:val="0"/>
              <w:spacing w:after="0" w:line="276" w:lineRule="auto"/>
              <w:ind w:firstLine="709"/>
              <w:jc w:val="both"/>
              <w:rPr>
                <w:rFonts w:ascii="Times New Roman" w:hAnsi="Times New Roman" w:cs="Times New Roman"/>
                <w:sz w:val="22"/>
                <w:szCs w:val="22"/>
              </w:rPr>
            </w:pPr>
            <w:r>
              <w:rPr>
                <w:rFonts w:ascii="Times New Roman" w:hAnsi="Times New Roman" w:cs="Times New Roman"/>
                <w:noProof/>
                <w:lang w:val="ru-RU" w:eastAsia="ru-RU"/>
              </w:rPr>
              <mc:AlternateContent>
                <mc:Choice Requires="wpg">
                  <w:drawing>
                    <wp:inline distT="0" distB="0" distL="0" distR="0">
                      <wp:extent cx="2508250" cy="2757376"/>
                      <wp:effectExtent l="0" t="0" r="6350" b="508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pic:cNvPicPr>
                                <a:picLocks noChangeAspect="1"/>
                              </pic:cNvPicPr>
                            </pic:nvPicPr>
                            <pic:blipFill>
                              <a:blip r:embed="rId84"/>
                              <a:srcRect l="33546" t="31242" r="34416" b="6040"/>
                              <a:stretch/>
                            </pic:blipFill>
                            <pic:spPr bwMode="auto">
                              <a:xfrm>
                                <a:off x="0" y="0"/>
                                <a:ext cx="2511860" cy="2761343"/>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197.5pt;height:217.1pt;" stroked="f">
                      <v:path textboxrect="0,0,0,0"/>
                      <v:imagedata r:id="rId85" o:title=""/>
                    </v:shape>
                  </w:pict>
                </mc:Fallback>
              </mc:AlternateContent>
            </w:r>
          </w:p>
        </w:tc>
        <w:tc>
          <w:tcPr>
            <w:tcW w:w="4672" w:type="dxa"/>
          </w:tcPr>
          <w:p w:rsidR="00275E65" w:rsidRDefault="00902217">
            <w:pPr>
              <w:widowControl w:val="0"/>
              <w:spacing w:after="0" w:line="276" w:lineRule="auto"/>
              <w:ind w:firstLine="709"/>
              <w:jc w:val="both"/>
              <w:rPr>
                <w:rFonts w:ascii="Times New Roman" w:hAnsi="Times New Roman" w:cs="Times New Roman"/>
                <w:sz w:val="22"/>
                <w:szCs w:val="22"/>
              </w:rPr>
            </w:pPr>
            <w:r>
              <w:rPr>
                <w:rFonts w:ascii="Times New Roman" w:hAnsi="Times New Roman" w:cs="Times New Roman"/>
                <w:noProof/>
                <w:lang w:val="ru-RU" w:eastAsia="ru-RU"/>
              </w:rPr>
              <mc:AlternateContent>
                <mc:Choice Requires="wpg">
                  <w:drawing>
                    <wp:anchor distT="0" distB="0" distL="114300" distR="114300" simplePos="0" relativeHeight="251654144" behindDoc="0" locked="0" layoutInCell="1" allowOverlap="1">
                      <wp:simplePos x="0" y="0"/>
                      <wp:positionH relativeFrom="column">
                        <wp:posOffset>166370</wp:posOffset>
                      </wp:positionH>
                      <wp:positionV relativeFrom="paragraph">
                        <wp:posOffset>17145</wp:posOffset>
                      </wp:positionV>
                      <wp:extent cx="2520315" cy="2783205"/>
                      <wp:effectExtent l="0" t="0" r="0" b="0"/>
                      <wp:wrapSquare wrapText="bothSides"/>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pic:cNvPicPr>
                                <a:picLocks noChangeAspect="1"/>
                              </pic:cNvPicPr>
                            </pic:nvPicPr>
                            <pic:blipFill>
                              <a:blip r:embed="rId86">
                                <a:clrChange>
                                  <a:clrFrom>
                                    <a:srgbClr val="313131"/>
                                  </a:clrFrom>
                                  <a:clrTo>
                                    <a:srgbClr val="313131">
                                      <a:alpha val="0"/>
                                    </a:srgbClr>
                                  </a:clrTo>
                                </a:clrChange>
                              </a:blip>
                              <a:srcRect l="31432" t="17421" r="34282" b="15748"/>
                              <a:stretch/>
                            </pic:blipFill>
                            <pic:spPr bwMode="auto">
                              <a:xfrm>
                                <a:off x="0" y="0"/>
                                <a:ext cx="2520315" cy="2783205"/>
                              </a:xfrm>
                              <a:prstGeom prst="rect">
                                <a:avLst/>
                              </a:prstGeom>
                              <a:noFill/>
                              <a:ln>
                                <a:noFill/>
                              </a:ln>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654144;o:allowoverlap:true;o:allowincell:true;mso-position-horizontal-relative:text;margin-left:13.1pt;mso-position-horizontal:absolute;mso-position-vertical-relative:text;margin-top:1.3pt;mso-position-vertical:absolute;width:198.4pt;height:219.1pt;" stroked="f">
                      <v:path textboxrect="0,0,0,0"/>
                      <v:imagedata r:id="rId87" o:title=""/>
                    </v:shape>
                  </w:pict>
                </mc:Fallback>
              </mc:AlternateContent>
            </w:r>
          </w:p>
        </w:tc>
      </w:tr>
      <w:tr w:rsidR="00275E65">
        <w:tc>
          <w:tcPr>
            <w:tcW w:w="4672" w:type="dxa"/>
          </w:tcPr>
          <w:p w:rsidR="00275E65" w:rsidRDefault="00902217">
            <w:pPr>
              <w:spacing w:after="0" w:line="276" w:lineRule="auto"/>
              <w:ind w:firstLine="709"/>
              <w:jc w:val="both"/>
              <w:rPr>
                <w:rFonts w:ascii="Times New Roman" w:hAnsi="Times New Roman" w:cs="Times New Roman"/>
                <w:b/>
                <w:sz w:val="22"/>
                <w:szCs w:val="22"/>
                <w:lang w:val="ru-RU"/>
              </w:rPr>
            </w:pPr>
            <w:r>
              <w:rPr>
                <w:rFonts w:ascii="Times New Roman" w:hAnsi="Times New Roman" w:cs="Times New Roman"/>
                <w:b/>
                <w:color w:val="2F5496"/>
                <w:sz w:val="22"/>
                <w:szCs w:val="22"/>
                <w:lang w:val="ru-RU"/>
              </w:rPr>
              <w:t>Рисунок 1. Принципова схема утеплення стін дюбелями</w:t>
            </w:r>
          </w:p>
          <w:p w:rsidR="00275E65" w:rsidRDefault="00902217">
            <w:pPr>
              <w:spacing w:after="0" w:line="276" w:lineRule="auto"/>
              <w:ind w:firstLine="709"/>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1. Стіна. 2. Ізоляційна плита з мінеральної вати. 3. Клейовий розчин для склеювання плит з мінеральної вати та склад захисного шару. 4. Декоративна штукатурка. 5. Ґрунтовка. 6. </w:t>
            </w:r>
            <w:r>
              <w:rPr>
                <w:rFonts w:ascii="Times New Roman" w:hAnsi="Times New Roman" w:cs="Times New Roman"/>
                <w:color w:val="222222"/>
                <w:sz w:val="22"/>
                <w:szCs w:val="22"/>
                <w:lang w:val="ru-RU"/>
              </w:rPr>
              <w:t>Ґрунтовка глибокого проникнення для зовнішніх стін</w:t>
            </w:r>
            <w:r>
              <w:rPr>
                <w:rFonts w:ascii="Times New Roman" w:hAnsi="Times New Roman" w:cs="Times New Roman"/>
                <w:sz w:val="22"/>
                <w:szCs w:val="22"/>
                <w:lang w:val="ru-RU"/>
              </w:rPr>
              <w:t xml:space="preserve">. 7. </w:t>
            </w:r>
            <w:r>
              <w:rPr>
                <w:rStyle w:val="shorttext"/>
                <w:rFonts w:ascii="Times New Roman" w:hAnsi="Times New Roman" w:cs="Times New Roman"/>
                <w:color w:val="222222"/>
                <w:sz w:val="22"/>
                <w:szCs w:val="22"/>
                <w:lang w:val="ru-RU"/>
              </w:rPr>
              <w:t>Склопластикова сітка</w:t>
            </w:r>
            <w:r>
              <w:rPr>
                <w:rFonts w:ascii="Times New Roman" w:hAnsi="Times New Roman" w:cs="Times New Roman"/>
                <w:sz w:val="22"/>
                <w:szCs w:val="22"/>
                <w:lang w:val="ru-RU"/>
              </w:rPr>
              <w:t xml:space="preserve"> . 8</w:t>
            </w:r>
            <w:r>
              <w:rPr>
                <w:rFonts w:ascii="Times New Roman" w:hAnsi="Times New Roman" w:cs="Times New Roman"/>
                <w:sz w:val="22"/>
                <w:szCs w:val="22"/>
                <w:lang w:val="ru-RU"/>
              </w:rPr>
              <w:t>. Дюбель</w:t>
            </w:r>
          </w:p>
          <w:p w:rsidR="00275E65" w:rsidRDefault="00275E65">
            <w:pPr>
              <w:widowControl w:val="0"/>
              <w:spacing w:after="0" w:line="276" w:lineRule="auto"/>
              <w:ind w:firstLine="709"/>
              <w:jc w:val="both"/>
              <w:rPr>
                <w:rFonts w:ascii="Times New Roman" w:hAnsi="Times New Roman" w:cs="Times New Roman"/>
                <w:sz w:val="22"/>
                <w:szCs w:val="22"/>
                <w:lang w:val="ru-RU"/>
              </w:rPr>
            </w:pPr>
          </w:p>
        </w:tc>
        <w:tc>
          <w:tcPr>
            <w:tcW w:w="4672" w:type="dxa"/>
          </w:tcPr>
          <w:p w:rsidR="00275E65" w:rsidRDefault="00902217">
            <w:pPr>
              <w:spacing w:after="0" w:line="276" w:lineRule="auto"/>
              <w:ind w:firstLine="709"/>
              <w:jc w:val="both"/>
              <w:rPr>
                <w:rFonts w:ascii="Times New Roman" w:hAnsi="Times New Roman" w:cs="Times New Roman"/>
                <w:b/>
                <w:sz w:val="22"/>
                <w:szCs w:val="22"/>
                <w:lang w:val="ru-RU"/>
              </w:rPr>
            </w:pPr>
            <w:r>
              <w:rPr>
                <w:rFonts w:ascii="Times New Roman" w:hAnsi="Times New Roman" w:cs="Times New Roman"/>
                <w:b/>
                <w:color w:val="2F5496"/>
                <w:sz w:val="22"/>
                <w:szCs w:val="22"/>
                <w:lang w:val="ru-RU"/>
              </w:rPr>
              <w:t>Рисунок 2. Принципова схема теплоізоляції цоколя. Прилягає до системи теплоізоляції фасаду</w:t>
            </w:r>
          </w:p>
          <w:p w:rsidR="00275E65" w:rsidRDefault="00902217">
            <w:pPr>
              <w:spacing w:after="0" w:line="276" w:lineRule="auto"/>
              <w:ind w:firstLine="709"/>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1. Стіна. 2. Дюбель. 3. </w:t>
            </w:r>
            <w:r>
              <w:rPr>
                <w:rFonts w:ascii="Times New Roman" w:hAnsi="Times New Roman" w:cs="Times New Roman"/>
                <w:color w:val="222222"/>
                <w:sz w:val="22"/>
                <w:szCs w:val="22"/>
                <w:lang w:val="ru-RU"/>
              </w:rPr>
              <w:t>Клейовий розчин для склеювання ізоляційних плит</w:t>
            </w:r>
            <w:r>
              <w:rPr>
                <w:rFonts w:ascii="Times New Roman" w:hAnsi="Times New Roman" w:cs="Times New Roman"/>
                <w:sz w:val="22"/>
                <w:szCs w:val="22"/>
                <w:lang w:val="ru-RU"/>
              </w:rPr>
              <w:t xml:space="preserve"> і для влаштування захисного шару. 4. Зміцнююча сітка зі склопластику. 5. Ґрунтовка.</w:t>
            </w:r>
            <w:r>
              <w:rPr>
                <w:rFonts w:ascii="Times New Roman" w:hAnsi="Times New Roman" w:cs="Times New Roman"/>
                <w:sz w:val="22"/>
                <w:szCs w:val="22"/>
                <w:lang w:val="ru-RU"/>
              </w:rPr>
              <w:t xml:space="preserve"> 6. Декоративна штукатурка. 7. Теплоізоляційна плита. 8. Пінополіуретан. 9. Пінополіетиленова прокладка. 10. Акриловий герметик. 11. Гідроізоляція фарбою в 2 шари або водонепроникна мембрана. 12. </w:t>
            </w:r>
            <w:r>
              <w:rPr>
                <w:rFonts w:ascii="Times New Roman" w:hAnsi="Times New Roman" w:cs="Times New Roman"/>
                <w:color w:val="222222"/>
                <w:sz w:val="22"/>
                <w:szCs w:val="22"/>
                <w:lang w:val="ru-RU"/>
              </w:rPr>
              <w:t>Декоративна штукатурка</w:t>
            </w:r>
            <w:r>
              <w:rPr>
                <w:rFonts w:ascii="Times New Roman" w:hAnsi="Times New Roman" w:cs="Times New Roman"/>
                <w:sz w:val="22"/>
                <w:szCs w:val="22"/>
                <w:lang w:val="ru-RU"/>
              </w:rPr>
              <w:t xml:space="preserve"> . 13. Цокольна стіна. 14. Зміцнюючий </w:t>
            </w:r>
            <w:r>
              <w:rPr>
                <w:rFonts w:ascii="Times New Roman" w:hAnsi="Times New Roman" w:cs="Times New Roman"/>
                <w:sz w:val="22"/>
                <w:szCs w:val="22"/>
                <w:lang w:val="ru-RU"/>
              </w:rPr>
              <w:t xml:space="preserve">профіль. 15. Опорний профіль. 16. </w:t>
            </w:r>
            <w:r>
              <w:rPr>
                <w:rFonts w:ascii="Times New Roman" w:hAnsi="Times New Roman" w:cs="Times New Roman"/>
                <w:color w:val="222222"/>
                <w:sz w:val="22"/>
                <w:szCs w:val="22"/>
                <w:lang w:val="ru-RU"/>
              </w:rPr>
              <w:t>Профільний дюбель.</w:t>
            </w:r>
          </w:p>
        </w:tc>
      </w:tr>
      <w:tr w:rsidR="00275E65">
        <w:tc>
          <w:tcPr>
            <w:tcW w:w="4672" w:type="dxa"/>
          </w:tcPr>
          <w:p w:rsidR="00275E65" w:rsidRDefault="00902217">
            <w:pPr>
              <w:spacing w:after="0" w:line="276" w:lineRule="auto"/>
              <w:ind w:firstLine="709"/>
              <w:jc w:val="both"/>
              <w:rPr>
                <w:rFonts w:ascii="Times New Roman" w:hAnsi="Times New Roman" w:cs="Times New Roman"/>
                <w:b/>
                <w:color w:val="2F5496"/>
                <w:sz w:val="22"/>
                <w:szCs w:val="22"/>
                <w:lang w:val="ru-RU"/>
              </w:rPr>
            </w:pPr>
            <w:r>
              <w:rPr>
                <w:rFonts w:ascii="Times New Roman" w:hAnsi="Times New Roman" w:cs="Times New Roman"/>
                <w:b/>
                <w:noProof/>
                <w:color w:val="2F5496"/>
                <w:lang w:val="ru-RU" w:eastAsia="ru-RU"/>
              </w:rPr>
              <mc:AlternateContent>
                <mc:Choice Requires="wpg">
                  <w:drawing>
                    <wp:anchor distT="0" distB="0" distL="114300" distR="114300" simplePos="0" relativeHeight="251656192" behindDoc="0" locked="0" layoutInCell="1" allowOverlap="1">
                      <wp:simplePos x="0" y="0"/>
                      <wp:positionH relativeFrom="column">
                        <wp:posOffset>0</wp:posOffset>
                      </wp:positionH>
                      <wp:positionV relativeFrom="paragraph">
                        <wp:posOffset>133350</wp:posOffset>
                      </wp:positionV>
                      <wp:extent cx="2367915" cy="2499995"/>
                      <wp:effectExtent l="0" t="0" r="0" b="0"/>
                      <wp:wrapSquare wrapText="bothSides"/>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pic:cNvPicPr>
                            </pic:nvPicPr>
                            <pic:blipFill>
                              <a:blip r:embed="rId88"/>
                              <a:srcRect l="32925" t="19144" r="31015" b="13090"/>
                              <a:stretch/>
                            </pic:blipFill>
                            <pic:spPr bwMode="auto">
                              <a:xfrm>
                                <a:off x="0" y="0"/>
                                <a:ext cx="2367915" cy="2499995"/>
                              </a:xfrm>
                              <a:prstGeom prst="rect">
                                <a:avLst/>
                              </a:prstGeom>
                              <a:noFill/>
                              <a:ln>
                                <a:noFill/>
                              </a:ln>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656192;o:allowoverlap:true;o:allowincell:true;mso-position-horizontal-relative:text;margin-left:0.0pt;mso-position-horizontal:absolute;mso-position-vertical-relative:text;margin-top:10.5pt;mso-position-vertical:absolute;width:186.4pt;height:196.8pt;" stroked="f">
                      <v:path textboxrect="0,0,0,0"/>
                      <v:imagedata r:id="rId89" o:title=""/>
                    </v:shape>
                  </w:pict>
                </mc:Fallback>
              </mc:AlternateContent>
            </w:r>
          </w:p>
        </w:tc>
        <w:tc>
          <w:tcPr>
            <w:tcW w:w="4672" w:type="dxa"/>
          </w:tcPr>
          <w:p w:rsidR="00275E65" w:rsidRDefault="00275E65">
            <w:pPr>
              <w:spacing w:after="0" w:line="276" w:lineRule="auto"/>
              <w:ind w:firstLine="709"/>
              <w:jc w:val="both"/>
              <w:rPr>
                <w:rFonts w:ascii="Times New Roman" w:hAnsi="Times New Roman" w:cs="Times New Roman"/>
                <w:b/>
                <w:color w:val="2F5496"/>
                <w:sz w:val="22"/>
                <w:szCs w:val="22"/>
                <w:lang w:val="ru-RU"/>
              </w:rPr>
            </w:pPr>
          </w:p>
          <w:p w:rsidR="00275E65" w:rsidRDefault="00902217">
            <w:pPr>
              <w:spacing w:after="0" w:line="276" w:lineRule="auto"/>
              <w:ind w:firstLine="709"/>
              <w:jc w:val="both"/>
              <w:rPr>
                <w:rFonts w:ascii="Times New Roman" w:hAnsi="Times New Roman" w:cs="Times New Roman"/>
                <w:b/>
                <w:sz w:val="22"/>
                <w:szCs w:val="22"/>
                <w:lang w:val="ru-RU"/>
              </w:rPr>
            </w:pPr>
            <w:r>
              <w:rPr>
                <w:rFonts w:ascii="Times New Roman" w:hAnsi="Times New Roman" w:cs="Times New Roman"/>
                <w:b/>
                <w:color w:val="2F5496"/>
                <w:sz w:val="22"/>
                <w:szCs w:val="22"/>
                <w:lang w:val="ru-RU"/>
              </w:rPr>
              <w:t xml:space="preserve">Рисунок 3. Принципова схема суміжної гідроізоляції полімерцементу з бітумним полімерним шаром на рівні землі </w:t>
            </w:r>
          </w:p>
          <w:p w:rsidR="00275E65" w:rsidRDefault="00902217">
            <w:pPr>
              <w:spacing w:after="0" w:line="276" w:lineRule="auto"/>
              <w:ind w:firstLine="709"/>
              <w:jc w:val="both"/>
              <w:rPr>
                <w:rFonts w:ascii="Times New Roman" w:hAnsi="Times New Roman" w:cs="Times New Roman"/>
                <w:sz w:val="22"/>
                <w:szCs w:val="22"/>
                <w:lang w:val="ru-RU"/>
              </w:rPr>
            </w:pPr>
            <w:r>
              <w:rPr>
                <w:rFonts w:ascii="Times New Roman" w:hAnsi="Times New Roman" w:cs="Times New Roman"/>
                <w:color w:val="222222"/>
                <w:sz w:val="22"/>
                <w:szCs w:val="22"/>
                <w:lang w:val="ru-RU"/>
              </w:rPr>
              <w:t>1. Декоративна мозаїчна штукатурка (або плитка). 2. Ґрунтовка. 3. Гідроізоляція в два шар</w:t>
            </w:r>
            <w:r>
              <w:rPr>
                <w:rFonts w:ascii="Times New Roman" w:hAnsi="Times New Roman" w:cs="Times New Roman"/>
                <w:color w:val="222222"/>
                <w:sz w:val="22"/>
                <w:szCs w:val="22"/>
                <w:lang w:val="ru-RU"/>
              </w:rPr>
              <w:t>и. 4. Захисний армований шар. 5. Відмостка будівлі згідно з проектом. 6. Бітумна полімерна гідроізоляція. 7. Теплоізоляційна плита з екструдованого пінополістиролу.</w:t>
            </w:r>
          </w:p>
          <w:p w:rsidR="00275E65" w:rsidRDefault="00275E65">
            <w:pPr>
              <w:spacing w:after="0" w:line="276" w:lineRule="auto"/>
              <w:ind w:firstLine="709"/>
              <w:jc w:val="both"/>
              <w:rPr>
                <w:rFonts w:ascii="Times New Roman" w:hAnsi="Times New Roman" w:cs="Times New Roman"/>
                <w:b/>
                <w:color w:val="2F5496"/>
                <w:sz w:val="22"/>
                <w:szCs w:val="22"/>
                <w:lang w:val="ru-RU"/>
              </w:rPr>
            </w:pPr>
          </w:p>
        </w:tc>
      </w:tr>
    </w:tbl>
    <w:p w:rsidR="00275E65" w:rsidRDefault="00902217">
      <w:pPr>
        <w:keepNext/>
        <w:keepLines/>
        <w:spacing w:after="0" w:line="276" w:lineRule="auto"/>
        <w:ind w:firstLine="709"/>
        <w:jc w:val="both"/>
        <w:rPr>
          <w:rFonts w:ascii="Times New Roman" w:eastAsia="Verdana" w:hAnsi="Times New Roman" w:cs="Times New Roman"/>
          <w:b/>
          <w:color w:val="000000"/>
          <w:u w:val="single"/>
          <w:lang w:val="ru-RU" w:eastAsia="en-GB"/>
        </w:rPr>
      </w:pPr>
      <w:r>
        <w:rPr>
          <w:rFonts w:ascii="Times New Roman" w:eastAsiaTheme="minorEastAsia" w:hAnsi="Times New Roman" w:cstheme="minorHAnsi"/>
          <w:b/>
          <w:color w:val="000000" w:themeColor="text1"/>
          <w:u w:val="single"/>
          <w:lang w:val="ru-RU" w:eastAsia="en-GB"/>
        </w:rPr>
        <w:t>Плоскі дахи/горищні поверхи</w:t>
      </w:r>
      <w:bookmarkEnd w:id="205"/>
      <w:bookmarkEnd w:id="206"/>
    </w:p>
    <w:p w:rsidR="00275E65" w:rsidRDefault="00902217">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xml:space="preserve">Технічні характеристики теплоізоляції включають: </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матеріал теплоізоляції: мінеральна вата;</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xml:space="preserve">- теплопровідність матеріалу (максимальне значення): 0,045 Вт/(м × К); </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щільність мінеральної вати: не менше 180 кг/м</w:t>
      </w:r>
      <w:r>
        <w:rPr>
          <w:rFonts w:ascii="Times New Roman" w:eastAsiaTheme="minorEastAsia" w:hAnsi="Times New Roman" w:cstheme="minorHAnsi"/>
          <w:color w:val="000000"/>
          <w:vertAlign w:val="superscript"/>
          <w:lang w:val="ru-RU" w:eastAsia="en-GB"/>
        </w:rPr>
        <w:t>3</w:t>
      </w:r>
      <w:r>
        <w:rPr>
          <w:rFonts w:ascii="Times New Roman" w:eastAsiaTheme="minorEastAsia" w:hAnsi="Times New Roman" w:cstheme="minorHAnsi"/>
          <w:color w:val="000000"/>
          <w:lang w:val="ru-RU" w:eastAsia="en-GB"/>
        </w:rPr>
        <w:t xml:space="preserve"> (для плоских покрівель чи технічних поверхів, що експлуатуються);</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Інші елементи: паро- та гі</w:t>
      </w:r>
      <w:r>
        <w:rPr>
          <w:rFonts w:ascii="Times New Roman" w:eastAsiaTheme="minorEastAsia" w:hAnsi="Times New Roman" w:cstheme="minorHAnsi"/>
          <w:color w:val="000000"/>
          <w:lang w:val="ru-RU" w:eastAsia="en-GB"/>
        </w:rPr>
        <w:t>дроізоляція обов'язкова; на горищних поверхах – облаштування ходових містків.</w:t>
      </w:r>
    </w:p>
    <w:p w:rsidR="00275E65" w:rsidRDefault="00902217">
      <w:pPr>
        <w:spacing w:after="0" w:line="276" w:lineRule="auto"/>
        <w:ind w:firstLine="709"/>
        <w:jc w:val="both"/>
        <w:rPr>
          <w:rFonts w:ascii="Times New Roman" w:eastAsia="Verdana" w:hAnsi="Times New Roman" w:cs="Times New Roman"/>
          <w:lang w:val="ru-RU" w:eastAsia="en-GB"/>
        </w:rPr>
      </w:pPr>
      <w:bookmarkStart w:id="207" w:name="_heading=h.3o7alnk"/>
      <w:bookmarkEnd w:id="207"/>
      <w:r>
        <w:rPr>
          <w:rFonts w:ascii="Times New Roman" w:eastAsiaTheme="minorEastAsia" w:hAnsi="Times New Roman" w:cstheme="minorHAnsi"/>
          <w:lang w:val="ru-RU" w:eastAsia="en-GB"/>
        </w:rPr>
        <w:t>Встановлення: після очищення та підготовки поверхонь; відповідно до вимог виробника та нормативних будівельних актів, що регламентують технологію виконання утеплення.</w:t>
      </w:r>
    </w:p>
    <w:p w:rsidR="00275E65" w:rsidRDefault="00902217">
      <w:pPr>
        <w:widowControl w:val="0"/>
        <w:spacing w:after="0" w:line="276" w:lineRule="auto"/>
        <w:ind w:firstLine="709"/>
        <w:jc w:val="both"/>
        <w:rPr>
          <w:rFonts w:ascii="Times New Roman" w:eastAsia="Calibri" w:hAnsi="Times New Roman" w:cs="Times New Roman"/>
          <w:lang w:val="ru-RU"/>
        </w:rPr>
      </w:pPr>
      <w:r>
        <w:rPr>
          <w:rFonts w:ascii="Times New Roman" w:eastAsiaTheme="minorEastAsia" w:hAnsi="Times New Roman" w:cstheme="minorHAnsi"/>
          <w:lang w:val="ru-RU"/>
        </w:rPr>
        <w:t>Нижче навед</w:t>
      </w:r>
      <w:r>
        <w:rPr>
          <w:rFonts w:ascii="Times New Roman" w:eastAsiaTheme="minorEastAsia" w:hAnsi="Times New Roman" w:cstheme="minorHAnsi"/>
          <w:lang w:val="ru-RU"/>
        </w:rPr>
        <w:t>ено ілюстрацію теплоізоляції покрівлі:</w:t>
      </w:r>
    </w:p>
    <w:tbl>
      <w:tblPr>
        <w:tblStyle w:val="denkstat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716"/>
      </w:tblGrid>
      <w:tr w:rsidR="00275E65">
        <w:tc>
          <w:tcPr>
            <w:tcW w:w="5031" w:type="dxa"/>
          </w:tcPr>
          <w:p w:rsidR="00275E65" w:rsidRDefault="00902217">
            <w:pPr>
              <w:widowControl w:val="0"/>
              <w:spacing w:after="0" w:line="276" w:lineRule="auto"/>
              <w:ind w:firstLine="709"/>
              <w:jc w:val="both"/>
              <w:rPr>
                <w:rFonts w:ascii="Times New Roman" w:eastAsia="Calibri" w:hAnsi="Times New Roman" w:cs="Times New Roman"/>
              </w:rPr>
            </w:pPr>
            <w:r>
              <w:rPr>
                <w:rFonts w:ascii="Times New Roman" w:eastAsia="Calibri" w:hAnsi="Times New Roman" w:cs="Times New Roman"/>
                <w:noProof/>
                <w:lang w:val="ru-RU" w:eastAsia="ru-RU"/>
              </w:rPr>
              <mc:AlternateContent>
                <mc:Choice Requires="wpg">
                  <w:drawing>
                    <wp:inline distT="0" distB="0" distL="0" distR="0">
                      <wp:extent cx="2235200" cy="2125529"/>
                      <wp:effectExtent l="0" t="0" r="0" b="8255"/>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pic:cNvPicPr>
                                <a:picLocks noChangeAspect="1"/>
                              </pic:cNvPicPr>
                            </pic:nvPicPr>
                            <pic:blipFill>
                              <a:blip r:embed="rId90"/>
                              <a:stretch/>
                            </pic:blipFill>
                            <pic:spPr bwMode="auto">
                              <a:xfrm>
                                <a:off x="0" y="0"/>
                                <a:ext cx="2239775" cy="2129879"/>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176.0pt;height:167.4pt;" stroked="f">
                      <v:path textboxrect="0,0,0,0"/>
                      <v:imagedata r:id="rId91" o:title=""/>
                    </v:shape>
                  </w:pict>
                </mc:Fallback>
              </mc:AlternateContent>
            </w:r>
          </w:p>
        </w:tc>
        <w:tc>
          <w:tcPr>
            <w:tcW w:w="4716" w:type="dxa"/>
          </w:tcPr>
          <w:p w:rsidR="00275E65" w:rsidRDefault="00275E65">
            <w:pPr>
              <w:widowControl w:val="0"/>
              <w:spacing w:after="0" w:line="276" w:lineRule="auto"/>
              <w:ind w:firstLine="709"/>
              <w:jc w:val="both"/>
              <w:rPr>
                <w:rFonts w:ascii="Times New Roman" w:eastAsia="Calibri" w:hAnsi="Times New Roman" w:cs="Times New Roman"/>
                <w:lang w:eastAsia="uk-UA"/>
              </w:rPr>
            </w:pPr>
          </w:p>
          <w:p w:rsidR="00275E65" w:rsidRDefault="00902217">
            <w:pPr>
              <w:widowControl w:val="0"/>
              <w:spacing w:after="0" w:line="276" w:lineRule="auto"/>
              <w:ind w:firstLine="709"/>
              <w:jc w:val="both"/>
              <w:rPr>
                <w:rFonts w:ascii="Times New Roman" w:eastAsia="Calibri" w:hAnsi="Times New Roman" w:cs="Times New Roman"/>
              </w:rPr>
            </w:pPr>
            <w:r>
              <w:rPr>
                <w:rFonts w:ascii="Times New Roman" w:eastAsia="Calibri" w:hAnsi="Times New Roman" w:cs="Times New Roman"/>
                <w:noProof/>
                <w:lang w:val="ru-RU" w:eastAsia="ru-RU"/>
              </w:rPr>
              <mc:AlternateContent>
                <mc:Choice Requires="wpg">
                  <w:drawing>
                    <wp:anchor distT="0" distB="0" distL="114298" distR="114298" simplePos="0" relativeHeight="251660288" behindDoc="0" locked="0" layoutInCell="1" allowOverlap="1">
                      <wp:simplePos x="0" y="0"/>
                      <wp:positionH relativeFrom="column">
                        <wp:posOffset>527685</wp:posOffset>
                      </wp:positionH>
                      <wp:positionV relativeFrom="paragraph">
                        <wp:posOffset>169545</wp:posOffset>
                      </wp:positionV>
                      <wp:extent cx="6350" cy="558800"/>
                      <wp:effectExtent l="0" t="0" r="12700" b="12700"/>
                      <wp:wrapNone/>
                      <wp:docPr id="68" name="Straight Connector 9"/>
                      <wp:cNvGraphicFramePr/>
                      <a:graphic xmlns:a="http://schemas.openxmlformats.org/drawingml/2006/main">
                        <a:graphicData uri="http://schemas.microsoft.com/office/word/2010/wordprocessingShape">
                          <wps:wsp>
                            <wps:cNvCnPr/>
                            <wps:spPr bwMode="auto">
                              <a:xfrm>
                                <a:off x="0" y="0"/>
                                <a:ext cx="6350" cy="5588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w15="http://schemas.microsoft.com/office/word/2012/wordml">
                  <w:pict>
                    <v:shape id="shape 33" o:spid="_x0000_s33" o:spt="20" style="position:absolute;mso-wrap-distance-left:9.0pt;mso-wrap-distance-top:0.0pt;mso-wrap-distance-right:9.0pt;mso-wrap-distance-bottom:0.0pt;z-index:251660288;o:allowoverlap:true;o:allowincell:true;mso-position-horizontal-relative:text;margin-left:41.5pt;mso-position-horizontal:absolute;mso-position-vertical-relative:text;margin-top:13.3pt;mso-position-vertical:absolute;width:0.5pt;height:44.0pt;" coordsize="100000,100000" path="" filled="f" strokecolor="#487BB4" strokeweight="0.75pt">
                      <v:path textboxrect="0,0,0,0"/>
                    </v:shape>
                  </w:pict>
                </mc:Fallback>
              </mc:AlternateContent>
            </w:r>
            <w:r>
              <w:rPr>
                <w:rFonts w:ascii="Times New Roman" w:eastAsia="Calibri" w:hAnsi="Times New Roman" w:cs="Times New Roman"/>
                <w:noProof/>
                <w:lang w:val="ru-RU" w:eastAsia="ru-RU"/>
              </w:rPr>
              <mc:AlternateContent>
                <mc:Choice Requires="wpg">
                  <w:drawing>
                    <wp:anchor distT="0" distB="0" distL="114298" distR="114298" simplePos="0" relativeHeight="251662336" behindDoc="0" locked="0" layoutInCell="1" allowOverlap="1">
                      <wp:simplePos x="0" y="0"/>
                      <wp:positionH relativeFrom="column">
                        <wp:posOffset>724535</wp:posOffset>
                      </wp:positionH>
                      <wp:positionV relativeFrom="paragraph">
                        <wp:posOffset>163195</wp:posOffset>
                      </wp:positionV>
                      <wp:extent cx="12700" cy="606425"/>
                      <wp:effectExtent l="0" t="0" r="6350" b="3175"/>
                      <wp:wrapNone/>
                      <wp:docPr id="69" name="Straight Connector 10"/>
                      <wp:cNvGraphicFramePr/>
                      <a:graphic xmlns:a="http://schemas.openxmlformats.org/drawingml/2006/main">
                        <a:graphicData uri="http://schemas.microsoft.com/office/word/2010/wordprocessingShape">
                          <wps:wsp>
                            <wps:cNvCnPr/>
                            <wps:spPr bwMode="auto">
                              <a:xfrm>
                                <a:off x="0" y="0"/>
                                <a:ext cx="12700" cy="606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w15="http://schemas.microsoft.com/office/word/2012/wordml">
                  <w:pict>
                    <v:shape id="shape 34" o:spid="_x0000_s34" o:spt="20" style="position:absolute;mso-wrap-distance-left:9.0pt;mso-wrap-distance-top:0.0pt;mso-wrap-distance-right:9.0pt;mso-wrap-distance-bottom:0.0pt;z-index:251662336;o:allowoverlap:true;o:allowincell:true;mso-position-horizontal-relative:text;margin-left:57.0pt;mso-position-horizontal:absolute;mso-position-vertical-relative:text;margin-top:12.8pt;mso-position-vertical:absolute;width:1.0pt;height:47.8pt;" coordsize="100000,100000" path="" filled="f" strokecolor="#487BB4" strokeweight="0.75pt">
                      <v:path textboxrect="0,0,0,0"/>
                    </v:shape>
                  </w:pict>
                </mc:Fallback>
              </mc:AlternateContent>
            </w:r>
            <w:r>
              <w:rPr>
                <w:rFonts w:ascii="Times New Roman" w:eastAsia="Calibri" w:hAnsi="Times New Roman" w:cs="Times New Roman"/>
                <w:noProof/>
                <w:lang w:val="ru-RU" w:eastAsia="ru-RU"/>
              </w:rPr>
              <mc:AlternateContent>
                <mc:Choice Requires="wpg">
                  <w:drawing>
                    <wp:anchor distT="0" distB="0" distL="114298" distR="114298" simplePos="0" relativeHeight="251668480" behindDoc="0" locked="0" layoutInCell="1" allowOverlap="1">
                      <wp:simplePos x="0" y="0"/>
                      <wp:positionH relativeFrom="column">
                        <wp:posOffset>1372235</wp:posOffset>
                      </wp:positionH>
                      <wp:positionV relativeFrom="paragraph">
                        <wp:posOffset>188595</wp:posOffset>
                      </wp:positionV>
                      <wp:extent cx="19050" cy="952500"/>
                      <wp:effectExtent l="0" t="0" r="0" b="0"/>
                      <wp:wrapNone/>
                      <wp:docPr id="70" name="Straight Connector 12"/>
                      <wp:cNvGraphicFramePr/>
                      <a:graphic xmlns:a="http://schemas.openxmlformats.org/drawingml/2006/main">
                        <a:graphicData uri="http://schemas.microsoft.com/office/word/2010/wordprocessingShape">
                          <wps:wsp>
                            <wps:cNvCnPr/>
                            <wps:spPr bwMode="auto">
                              <a:xfrm flipH="1">
                                <a:off x="0" y="0"/>
                                <a:ext cx="19050" cy="9525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5="http://schemas.microsoft.com/office/word/2012/wordml">
                  <w:pict>
                    <v:shape id="shape 35" o:spid="_x0000_s35" o:spt="20" style="position:absolute;mso-wrap-distance-left:9.0pt;mso-wrap-distance-top:0.0pt;mso-wrap-distance-right:9.0pt;mso-wrap-distance-bottom:0.0pt;z-index:251668480;o:allowoverlap:true;o:allowincell:true;mso-position-horizontal-relative:text;margin-left:108.0pt;mso-position-horizontal:absolute;mso-position-vertical-relative:text;margin-top:14.8pt;mso-position-vertical:absolute;width:1.5pt;height:75.0pt;flip:x;" coordsize="100000,100000" path="" filled="f" strokecolor="#487BB4" strokeweight="0.75pt">
                      <v:path textboxrect="0,0,0,0"/>
                    </v:shape>
                  </w:pict>
                </mc:Fallback>
              </mc:AlternateContent>
            </w:r>
            <w:r>
              <w:rPr>
                <w:rFonts w:ascii="Times New Roman" w:eastAsia="Calibri" w:hAnsi="Times New Roman" w:cs="Times New Roman"/>
                <w:noProof/>
                <w:lang w:val="ru-RU" w:eastAsia="ru-RU"/>
              </w:rPr>
              <mc:AlternateContent>
                <mc:Choice Requires="wpg">
                  <w:drawing>
                    <wp:anchor distT="0" distB="0" distL="114299" distR="114299" simplePos="0" relativeHeight="251670528" behindDoc="0" locked="0" layoutInCell="1" allowOverlap="1">
                      <wp:simplePos x="0" y="0"/>
                      <wp:positionH relativeFrom="column">
                        <wp:posOffset>1632584</wp:posOffset>
                      </wp:positionH>
                      <wp:positionV relativeFrom="paragraph">
                        <wp:posOffset>201295</wp:posOffset>
                      </wp:positionV>
                      <wp:extent cx="0" cy="1117600"/>
                      <wp:effectExtent l="0" t="0" r="19050" b="6350"/>
                      <wp:wrapNone/>
                      <wp:docPr id="71" name="Straight Connector 13"/>
                      <wp:cNvGraphicFramePr/>
                      <a:graphic xmlns:a="http://schemas.openxmlformats.org/drawingml/2006/main">
                        <a:graphicData uri="http://schemas.microsoft.com/office/word/2010/wordprocessingShape">
                          <wps:wsp>
                            <wps:cNvCnPr/>
                            <wps:spPr bwMode="auto">
                              <a:xfrm>
                                <a:off x="0" y="0"/>
                                <a:ext cx="0" cy="11176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5="http://schemas.microsoft.com/office/word/2012/wordml">
                  <w:pict>
                    <v:shape id="shape 36" o:spid="_x0000_s36" o:spt="20" style="position:absolute;mso-wrap-distance-left:9.0pt;mso-wrap-distance-top:0.0pt;mso-wrap-distance-right:9.0pt;mso-wrap-distance-bottom:0.0pt;z-index:251670528;o:allowoverlap:true;o:allowincell:true;mso-position-horizontal-relative:text;margin-left:128.5pt;mso-position-horizontal:absolute;mso-position-vertical-relative:text;margin-top:15.8pt;mso-position-vertical:absolute;width:0.0pt;height:88.0pt;" coordsize="100000,100000" path="" filled="f" strokecolor="#487BB4" strokeweight="0.75pt">
                      <v:path textboxrect="0,0,0,0"/>
                    </v:shape>
                  </w:pict>
                </mc:Fallback>
              </mc:AlternateContent>
            </w:r>
            <w:r>
              <w:rPr>
                <w:rFonts w:ascii="Times New Roman" w:eastAsia="Calibri" w:hAnsi="Times New Roman" w:cs="Times New Roman"/>
                <w:noProof/>
                <w:lang w:val="ru-RU" w:eastAsia="ru-RU"/>
              </w:rPr>
              <mc:AlternateContent>
                <mc:Choice Requires="wpg">
                  <w:drawing>
                    <wp:anchor distT="0" distB="0" distL="114298" distR="114298" simplePos="0" relativeHeight="251666432" behindDoc="0" locked="0" layoutInCell="1" allowOverlap="1">
                      <wp:simplePos x="0" y="0"/>
                      <wp:positionH relativeFrom="column">
                        <wp:posOffset>1124585</wp:posOffset>
                      </wp:positionH>
                      <wp:positionV relativeFrom="paragraph">
                        <wp:posOffset>188595</wp:posOffset>
                      </wp:positionV>
                      <wp:extent cx="12700" cy="869950"/>
                      <wp:effectExtent l="0" t="0" r="6350" b="6350"/>
                      <wp:wrapNone/>
                      <wp:docPr id="72" name="Straight Connector 8"/>
                      <wp:cNvGraphicFramePr/>
                      <a:graphic xmlns:a="http://schemas.openxmlformats.org/drawingml/2006/main">
                        <a:graphicData uri="http://schemas.microsoft.com/office/word/2010/wordprocessingShape">
                          <wps:wsp>
                            <wps:cNvCnPr/>
                            <wps:spPr bwMode="auto">
                              <a:xfrm flipH="1">
                                <a:off x="0" y="0"/>
                                <a:ext cx="12700" cy="8699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w15="http://schemas.microsoft.com/office/word/2012/wordml">
                  <w:pict>
                    <v:shape id="shape 37" o:spid="_x0000_s37" o:spt="20" style="position:absolute;mso-wrap-distance-left:9.0pt;mso-wrap-distance-top:0.0pt;mso-wrap-distance-right:9.0pt;mso-wrap-distance-bottom:0.0pt;z-index:251666432;o:allowoverlap:true;o:allowincell:true;mso-position-horizontal-relative:text;margin-left:88.5pt;mso-position-horizontal:absolute;mso-position-vertical-relative:text;margin-top:14.8pt;mso-position-vertical:absolute;width:1.0pt;height:68.5pt;flip:x;" coordsize="100000,100000" path="" filled="f" strokecolor="#487BB4" strokeweight="0.75pt">
                      <v:path textboxrect="0,0,0,0"/>
                    </v:shape>
                  </w:pict>
                </mc:Fallback>
              </mc:AlternateContent>
            </w:r>
            <w:r>
              <w:rPr>
                <w:rFonts w:ascii="Times New Roman" w:eastAsia="Calibri" w:hAnsi="Times New Roman" w:cs="Times New Roman"/>
                <w:noProof/>
                <w:lang w:val="ru-RU" w:eastAsia="ru-RU"/>
              </w:rPr>
              <mc:AlternateContent>
                <mc:Choice Requires="wpg">
                  <w:drawing>
                    <wp:anchor distT="0" distB="0" distL="114298" distR="114298" simplePos="0" relativeHeight="251664384" behindDoc="0" locked="0" layoutInCell="1" allowOverlap="1">
                      <wp:simplePos x="0" y="0"/>
                      <wp:positionH relativeFrom="column">
                        <wp:posOffset>921385</wp:posOffset>
                      </wp:positionH>
                      <wp:positionV relativeFrom="paragraph">
                        <wp:posOffset>156845</wp:posOffset>
                      </wp:positionV>
                      <wp:extent cx="6350" cy="739775"/>
                      <wp:effectExtent l="0" t="0" r="12700" b="3175"/>
                      <wp:wrapNone/>
                      <wp:docPr id="73" name="Straight Connector 7"/>
                      <wp:cNvGraphicFramePr/>
                      <a:graphic xmlns:a="http://schemas.openxmlformats.org/drawingml/2006/main">
                        <a:graphicData uri="http://schemas.microsoft.com/office/word/2010/wordprocessingShape">
                          <wps:wsp>
                            <wps:cNvCnPr/>
                            <wps:spPr bwMode="auto">
                              <a:xfrm>
                                <a:off x="0" y="0"/>
                                <a:ext cx="6350" cy="7397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5="http://schemas.microsoft.com/office/word/2012/wordml">
                  <w:pict>
                    <v:shape id="shape 38" o:spid="_x0000_s38" o:spt="20" style="position:absolute;mso-wrap-distance-left:9.0pt;mso-wrap-distance-top:0.0pt;mso-wrap-distance-right:9.0pt;mso-wrap-distance-bottom:0.0pt;z-index:251664384;o:allowoverlap:true;o:allowincell:true;mso-position-horizontal-relative:text;margin-left:72.5pt;mso-position-horizontal:absolute;mso-position-vertical-relative:text;margin-top:12.3pt;mso-position-vertical:absolute;width:0.5pt;height:58.2pt;" coordsize="100000,100000" path="" filled="f" strokecolor="#487BB4" strokeweight="0.75pt">
                      <v:path textboxrect="0,0,0,0"/>
                    </v:shape>
                  </w:pict>
                </mc:Fallback>
              </mc:AlternateContent>
            </w:r>
            <w:r>
              <w:rPr>
                <w:rFonts w:ascii="Times New Roman" w:eastAsia="Calibri" w:hAnsi="Times New Roman" w:cs="Times New Roman"/>
                <w:noProof/>
                <w:lang w:val="ru-RU" w:eastAsia="ru-RU"/>
              </w:rPr>
              <mc:AlternateContent>
                <mc:Choice Requires="wpg">
                  <w:drawing>
                    <wp:anchor distT="0" distB="0" distL="114297" distR="114297" simplePos="0" relativeHeight="251658240" behindDoc="0" locked="0" layoutInCell="1" allowOverlap="1">
                      <wp:simplePos x="0" y="0"/>
                      <wp:positionH relativeFrom="column">
                        <wp:posOffset>327659</wp:posOffset>
                      </wp:positionH>
                      <wp:positionV relativeFrom="paragraph">
                        <wp:posOffset>163830</wp:posOffset>
                      </wp:positionV>
                      <wp:extent cx="0" cy="542925"/>
                      <wp:effectExtent l="0" t="0" r="19050" b="9525"/>
                      <wp:wrapNone/>
                      <wp:docPr id="74" name="Straight Connector 6"/>
                      <wp:cNvGraphicFramePr/>
                      <a:graphic xmlns:a="http://schemas.openxmlformats.org/drawingml/2006/main">
                        <a:graphicData uri="http://schemas.microsoft.com/office/word/2010/wordprocessingShape">
                          <wps:wsp>
                            <wps:cNvCnPr/>
                            <wps:spPr bwMode="auto">
                              <a:xfrm>
                                <a:off x="0" y="0"/>
                                <a:ext cx="0" cy="5429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w15="http://schemas.microsoft.com/office/word/2012/wordml">
                  <w:pict>
                    <v:shape id="shape 39" o:spid="_x0000_s39" o:spt="20" style="position:absolute;mso-wrap-distance-left:9.0pt;mso-wrap-distance-top:0.0pt;mso-wrap-distance-right:9.0pt;mso-wrap-distance-bottom:0.0pt;z-index:251658240;o:allowoverlap:true;o:allowincell:true;mso-position-horizontal-relative:text;margin-left:25.8pt;mso-position-horizontal:absolute;mso-position-vertical-relative:text;margin-top:12.9pt;mso-position-vertical:absolute;width:0.0pt;height:42.8pt;" coordsize="100000,100000" path="" filled="f" strokecolor="#487BB4" strokeweight="0.75pt">
                      <v:path textboxrect="0,0,0,0"/>
                    </v:shape>
                  </w:pict>
                </mc:Fallback>
              </mc:AlternateContent>
            </w:r>
            <w:r>
              <w:rPr>
                <w:rFonts w:ascii="Times New Roman" w:eastAsia="Calibri" w:hAnsi="Times New Roman" w:cs="Times New Roman"/>
              </w:rPr>
              <w:t xml:space="preserve">        1     2    3    4     5     6     7 </w:t>
            </w:r>
          </w:p>
          <w:p w:rsidR="00275E65" w:rsidRDefault="00275E65">
            <w:pPr>
              <w:widowControl w:val="0"/>
              <w:spacing w:after="0" w:line="276" w:lineRule="auto"/>
              <w:ind w:firstLine="709"/>
              <w:jc w:val="both"/>
              <w:rPr>
                <w:rFonts w:ascii="Times New Roman" w:eastAsia="Calibri" w:hAnsi="Times New Roman" w:cs="Times New Roman"/>
              </w:rPr>
            </w:pPr>
          </w:p>
          <w:p w:rsidR="00275E65" w:rsidRDefault="00275E65">
            <w:pPr>
              <w:widowControl w:val="0"/>
              <w:spacing w:after="0" w:line="276" w:lineRule="auto"/>
              <w:ind w:firstLine="709"/>
              <w:jc w:val="both"/>
              <w:rPr>
                <w:rFonts w:ascii="Times New Roman" w:eastAsia="Calibri" w:hAnsi="Times New Roman" w:cs="Times New Roman"/>
              </w:rPr>
            </w:pPr>
          </w:p>
          <w:p w:rsidR="00275E65" w:rsidRDefault="00902217">
            <w:pPr>
              <w:widowControl w:val="0"/>
              <w:spacing w:after="0" w:line="276" w:lineRule="auto"/>
              <w:ind w:firstLine="709"/>
              <w:jc w:val="both"/>
              <w:rPr>
                <w:rFonts w:ascii="Times New Roman" w:eastAsia="Calibri" w:hAnsi="Times New Roman" w:cs="Times New Roman"/>
              </w:rPr>
            </w:pPr>
            <w:r>
              <w:rPr>
                <w:rFonts w:ascii="Times New Roman" w:eastAsia="Calibri" w:hAnsi="Times New Roman" w:cs="Times New Roman"/>
                <w:noProof/>
                <w:lang w:val="ru-RU" w:eastAsia="ru-RU"/>
              </w:rPr>
              <mc:AlternateContent>
                <mc:Choice Requires="wpg">
                  <w:drawing>
                    <wp:inline distT="0" distB="0" distL="0" distR="0">
                      <wp:extent cx="2857500" cy="921664"/>
                      <wp:effectExtent l="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pic:cNvPicPr>
                                <a:picLocks noChangeAspect="1"/>
                              </pic:cNvPicPr>
                            </pic:nvPicPr>
                            <pic:blipFill>
                              <a:blip r:embed="rId92"/>
                              <a:stretch/>
                            </pic:blipFill>
                            <pic:spPr bwMode="auto">
                              <a:xfrm>
                                <a:off x="0" y="0"/>
                                <a:ext cx="2869031" cy="925383"/>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mso-wrap-distance-left:0.0pt;mso-wrap-distance-top:0.0pt;mso-wrap-distance-right:0.0pt;mso-wrap-distance-bottom:0.0pt;width:225.0pt;height:72.6pt;" stroked="f">
                      <v:path textboxrect="0,0,0,0"/>
                      <v:imagedata r:id="rId93" o:title=""/>
                    </v:shape>
                  </w:pict>
                </mc:Fallback>
              </mc:AlternateContent>
            </w:r>
          </w:p>
        </w:tc>
      </w:tr>
      <w:tr w:rsidR="00275E65">
        <w:tc>
          <w:tcPr>
            <w:tcW w:w="5031" w:type="dxa"/>
          </w:tcPr>
          <w:p w:rsidR="00275E65" w:rsidRDefault="00902217">
            <w:pPr>
              <w:widowControl w:val="0"/>
              <w:spacing w:after="0" w:line="276" w:lineRule="auto"/>
              <w:ind w:firstLine="709"/>
              <w:jc w:val="both"/>
              <w:rPr>
                <w:rFonts w:ascii="Times New Roman" w:eastAsia="Calibri" w:hAnsi="Times New Roman" w:cs="Times New Roman"/>
                <w:lang w:val="ru-RU"/>
              </w:rPr>
            </w:pPr>
            <w:r>
              <w:rPr>
                <w:rFonts w:ascii="Times New Roman" w:eastAsia="Calibri" w:hAnsi="Times New Roman" w:cs="Times New Roman"/>
                <w:b/>
                <w:color w:val="2F5496"/>
                <w:lang w:val="ru-RU"/>
              </w:rPr>
              <w:t>Рисунок 4. Принципова схема технології теплоізоляції мансардного поверху з доріжками (прохідна підлога)</w:t>
            </w:r>
          </w:p>
        </w:tc>
        <w:tc>
          <w:tcPr>
            <w:tcW w:w="4716" w:type="dxa"/>
          </w:tcPr>
          <w:p w:rsidR="00275E65" w:rsidRDefault="00902217">
            <w:pPr>
              <w:widowControl w:val="0"/>
              <w:spacing w:after="0" w:line="276" w:lineRule="auto"/>
              <w:ind w:firstLine="709"/>
              <w:jc w:val="both"/>
              <w:rPr>
                <w:rFonts w:ascii="Times New Roman" w:eastAsia="Calibri" w:hAnsi="Times New Roman" w:cs="Times New Roman"/>
                <w:b/>
                <w:color w:val="2F5496"/>
                <w:lang w:val="ru-RU"/>
              </w:rPr>
            </w:pPr>
            <w:r>
              <w:rPr>
                <w:rFonts w:ascii="Times New Roman" w:eastAsia="Calibri" w:hAnsi="Times New Roman" w:cs="Times New Roman"/>
                <w:b/>
                <w:color w:val="2F5496"/>
                <w:lang w:val="ru-RU"/>
              </w:rPr>
              <w:t>Рисунок 5. Принципова схема теп</w:t>
            </w:r>
            <w:r>
              <w:rPr>
                <w:rFonts w:ascii="Times New Roman" w:eastAsia="Calibri" w:hAnsi="Times New Roman" w:cs="Times New Roman"/>
                <w:b/>
                <w:color w:val="2F5496"/>
                <w:lang w:val="ru-RU"/>
              </w:rPr>
              <w:t xml:space="preserve">лоізоляції плоскої покрівлі </w:t>
            </w:r>
          </w:p>
          <w:p w:rsidR="00275E65" w:rsidRDefault="00902217">
            <w:pPr>
              <w:spacing w:after="0" w:line="276" w:lineRule="auto"/>
              <w:ind w:firstLine="709"/>
              <w:jc w:val="both"/>
              <w:rPr>
                <w:rFonts w:ascii="Times New Roman" w:eastAsia="Calibri" w:hAnsi="Times New Roman" w:cs="Times New Roman"/>
                <w:color w:val="2F5496"/>
              </w:rPr>
            </w:pPr>
            <w:r>
              <w:rPr>
                <w:rFonts w:ascii="Times New Roman" w:eastAsia="Calibri" w:hAnsi="Times New Roman" w:cs="Times New Roman"/>
                <w:color w:val="222222"/>
                <w:lang w:val="ru-RU"/>
              </w:rPr>
              <w:t xml:space="preserve">1) Багатошарове покриття даху. 2) Армоване цементно-піщана підложка. 3) Шар гідроізоляції. 4) Клейдит або подібне. 5) Теплоізоляційні плити з мінеральної вати. </w:t>
            </w:r>
            <w:r>
              <w:rPr>
                <w:rFonts w:ascii="Times New Roman" w:eastAsia="Calibri" w:hAnsi="Times New Roman" w:cs="Times New Roman"/>
                <w:color w:val="222222"/>
              </w:rPr>
              <w:t>6) Пароізоляція. 7) Залізобетонна плита</w:t>
            </w:r>
          </w:p>
        </w:tc>
      </w:tr>
    </w:tbl>
    <w:p w:rsidR="00275E65" w:rsidRDefault="00902217">
      <w:pPr>
        <w:keepNext/>
        <w:keepLines/>
        <w:spacing w:after="0" w:line="276" w:lineRule="auto"/>
        <w:ind w:firstLine="709"/>
        <w:jc w:val="both"/>
        <w:rPr>
          <w:rFonts w:ascii="Times New Roman" w:eastAsia="Verdana" w:hAnsi="Times New Roman" w:cs="Times New Roman"/>
          <w:b/>
          <w:color w:val="000000"/>
          <w:u w:val="single"/>
          <w:lang w:val="ru-RU" w:eastAsia="en-GB"/>
        </w:rPr>
      </w:pPr>
      <w:bookmarkStart w:id="208" w:name="_Toc142653602"/>
      <w:bookmarkStart w:id="209" w:name="_Toc142653946"/>
      <w:r>
        <w:rPr>
          <w:rFonts w:ascii="Times New Roman" w:eastAsiaTheme="minorEastAsia" w:hAnsi="Times New Roman" w:cstheme="minorHAnsi"/>
          <w:b/>
          <w:color w:val="000000" w:themeColor="text1"/>
          <w:u w:val="single"/>
          <w:lang w:val="ru-RU" w:eastAsia="en-GB"/>
        </w:rPr>
        <w:t>Стелі підвальних приміщень</w:t>
      </w:r>
      <w:bookmarkEnd w:id="208"/>
      <w:bookmarkEnd w:id="209"/>
    </w:p>
    <w:p w:rsidR="00275E65" w:rsidRDefault="00902217">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xml:space="preserve">Передбачаються такі технічні характеристики теплоізоляції на поверхах над рівнем землі: </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матеріал: залежно від правил пожежної безпеки та можливих інших обмежень щодо матеріалів, які будуть використовуватися в будівлях;</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теплопровідність матеріалу (максимальне значення): 0,045 Вт/(м × К);</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Інші елементи: гідроізоляція обов'язкова.</w:t>
      </w:r>
    </w:p>
    <w:p w:rsidR="00275E65" w:rsidRDefault="00902217">
      <w:pPr>
        <w:spacing w:after="0" w:line="276" w:lineRule="auto"/>
        <w:ind w:firstLine="709"/>
        <w:jc w:val="both"/>
        <w:rPr>
          <w:rFonts w:ascii="Times New Roman" w:eastAsia="Verdana" w:hAnsi="Times New Roman" w:cs="Times New Roman"/>
          <w:lang w:val="ru-RU" w:eastAsia="en-GB"/>
        </w:rPr>
      </w:pPr>
      <w:bookmarkStart w:id="210" w:name="_heading=h.23ckvvd"/>
      <w:bookmarkEnd w:id="210"/>
      <w:r>
        <w:rPr>
          <w:rFonts w:ascii="Times New Roman" w:eastAsiaTheme="minorEastAsia" w:hAnsi="Times New Roman" w:cstheme="minorHAnsi"/>
          <w:lang w:val="ru-RU" w:eastAsia="en-GB"/>
        </w:rPr>
        <w:t>Встановлення: після очищення та підготовки поверхонь, відповідно до вимог виробника та нормативних будівельних актів, що регламентують технолог</w:t>
      </w:r>
      <w:r>
        <w:rPr>
          <w:rFonts w:ascii="Times New Roman" w:eastAsiaTheme="minorEastAsia" w:hAnsi="Times New Roman" w:cstheme="minorHAnsi"/>
          <w:lang w:val="ru-RU" w:eastAsia="en-GB"/>
        </w:rPr>
        <w:t>ію виконання утеплення.</w:t>
      </w:r>
    </w:p>
    <w:p w:rsidR="00275E65" w:rsidRDefault="00902217">
      <w:pPr>
        <w:keepNext/>
        <w:keepLines/>
        <w:spacing w:after="0" w:line="276" w:lineRule="auto"/>
        <w:ind w:firstLine="709"/>
        <w:jc w:val="both"/>
        <w:rPr>
          <w:rFonts w:ascii="Times New Roman" w:eastAsia="Verdana" w:hAnsi="Times New Roman" w:cs="Times New Roman"/>
          <w:b/>
          <w:color w:val="000000"/>
          <w:u w:val="single"/>
          <w:lang w:val="ru-RU" w:eastAsia="en-GB"/>
        </w:rPr>
      </w:pPr>
      <w:bookmarkStart w:id="211" w:name="_Toc142653947"/>
      <w:r>
        <w:rPr>
          <w:rFonts w:ascii="Times New Roman" w:eastAsiaTheme="minorEastAsia" w:hAnsi="Times New Roman" w:cstheme="minorHAnsi"/>
          <w:b/>
          <w:color w:val="000000" w:themeColor="text1"/>
          <w:u w:val="single"/>
          <w:lang w:val="ru-RU" w:eastAsia="en-GB"/>
        </w:rPr>
        <w:t>Вікна і двері</w:t>
      </w:r>
      <w:bookmarkEnd w:id="211"/>
    </w:p>
    <w:p w:rsidR="00275E65" w:rsidRDefault="00902217">
      <w:pPr>
        <w:spacing w:after="0" w:line="276" w:lineRule="auto"/>
        <w:ind w:firstLine="709"/>
        <w:jc w:val="both"/>
        <w:rPr>
          <w:rFonts w:ascii="Times New Roman" w:eastAsia="Verdana" w:hAnsi="Times New Roman" w:cs="Times New Roman"/>
          <w:lang w:val="ru-RU" w:eastAsia="en-GB"/>
        </w:rPr>
      </w:pPr>
      <w:bookmarkStart w:id="212" w:name="_heading=h.ihv636"/>
      <w:bookmarkEnd w:id="212"/>
      <w:r>
        <w:rPr>
          <w:rFonts w:ascii="Times New Roman" w:eastAsiaTheme="minorEastAsia" w:hAnsi="Times New Roman" w:cstheme="minorHAnsi"/>
          <w:lang w:val="ru-RU" w:eastAsia="en-GB"/>
        </w:rPr>
        <w:t>Технічні характеристики нових вікон типу 4</w:t>
      </w:r>
      <w:r>
        <w:rPr>
          <w:rFonts w:ascii="Times New Roman" w:eastAsiaTheme="minorEastAsia" w:hAnsi="Times New Roman" w:cstheme="minorHAnsi"/>
          <w:lang w:eastAsia="en-GB"/>
        </w:rPr>
        <w:t>i</w:t>
      </w:r>
      <w:r>
        <w:rPr>
          <w:rFonts w:ascii="Times New Roman" w:eastAsiaTheme="minorEastAsia" w:hAnsi="Times New Roman" w:cstheme="minorHAnsi"/>
          <w:lang w:val="ru-RU" w:eastAsia="en-GB"/>
        </w:rPr>
        <w:t>-14</w:t>
      </w:r>
      <w:r>
        <w:rPr>
          <w:rFonts w:ascii="Times New Roman" w:eastAsiaTheme="minorEastAsia" w:hAnsi="Times New Roman" w:cstheme="minorHAnsi"/>
          <w:lang w:eastAsia="en-GB"/>
        </w:rPr>
        <w:t>Ar</w:t>
      </w:r>
      <w:r>
        <w:rPr>
          <w:rFonts w:ascii="Times New Roman" w:eastAsiaTheme="minorEastAsia" w:hAnsi="Times New Roman" w:cstheme="minorHAnsi"/>
          <w:lang w:val="ru-RU" w:eastAsia="en-GB"/>
        </w:rPr>
        <w:t>-4-14</w:t>
      </w:r>
      <w:r>
        <w:rPr>
          <w:rFonts w:ascii="Times New Roman" w:eastAsiaTheme="minorEastAsia" w:hAnsi="Times New Roman" w:cstheme="minorHAnsi"/>
          <w:lang w:eastAsia="en-GB"/>
        </w:rPr>
        <w:t>Ar</w:t>
      </w:r>
      <w:r>
        <w:rPr>
          <w:rFonts w:ascii="Times New Roman" w:eastAsiaTheme="minorEastAsia" w:hAnsi="Times New Roman" w:cstheme="minorHAnsi"/>
          <w:lang w:val="ru-RU" w:eastAsia="en-GB"/>
        </w:rPr>
        <w:t>-4</w:t>
      </w:r>
      <w:r>
        <w:rPr>
          <w:rFonts w:ascii="Times New Roman" w:eastAsiaTheme="minorEastAsia" w:hAnsi="Times New Roman" w:cstheme="minorHAnsi"/>
          <w:lang w:eastAsia="en-GB"/>
        </w:rPr>
        <w:t>i</w:t>
      </w:r>
      <w:r>
        <w:rPr>
          <w:rFonts w:ascii="Times New Roman" w:eastAsiaTheme="minorEastAsia" w:hAnsi="Times New Roman" w:cstheme="minorHAnsi"/>
          <w:lang w:val="ru-RU" w:eastAsia="en-GB"/>
        </w:rPr>
        <w:t xml:space="preserve"> наступні: </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xml:space="preserve">- матеріал віконної рами: ПВХ; </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xml:space="preserve">- скління: потрійне скління </w:t>
      </w:r>
      <w:r>
        <w:rPr>
          <w:rFonts w:ascii="Times New Roman" w:eastAsiaTheme="minorEastAsia" w:hAnsi="Times New Roman" w:cstheme="minorHAnsi"/>
          <w:color w:val="000000"/>
          <w:lang w:eastAsia="en-GB"/>
        </w:rPr>
        <w:t>Low</w:t>
      </w:r>
      <w:r>
        <w:rPr>
          <w:rFonts w:ascii="Times New Roman" w:eastAsiaTheme="minorEastAsia" w:hAnsi="Times New Roman" w:cstheme="minorHAnsi"/>
          <w:color w:val="000000"/>
          <w:lang w:val="ru-RU" w:eastAsia="en-GB"/>
        </w:rPr>
        <w:t>-</w:t>
      </w:r>
      <w:r>
        <w:rPr>
          <w:rFonts w:ascii="Times New Roman" w:eastAsiaTheme="minorEastAsia" w:hAnsi="Times New Roman" w:cstheme="minorHAnsi"/>
          <w:color w:val="000000"/>
          <w:lang w:eastAsia="en-GB"/>
        </w:rPr>
        <w:t>e</w:t>
      </w:r>
      <w:r>
        <w:rPr>
          <w:rFonts w:ascii="Times New Roman" w:eastAsiaTheme="minorEastAsia" w:hAnsi="Times New Roman" w:cstheme="minorHAnsi"/>
          <w:color w:val="000000"/>
          <w:lang w:val="ru-RU" w:eastAsia="en-GB"/>
        </w:rPr>
        <w:t xml:space="preserve">; </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xml:space="preserve">- товщина скла: не менше 4 мм; </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заповнення скла: аргон;</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xml:space="preserve">- відстань між листами скла: в середньому 14 мм; </w:t>
      </w:r>
    </w:p>
    <w:p w:rsidR="00275E65" w:rsidRDefault="0090221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76" w:lineRule="auto"/>
        <w:ind w:firstLine="709"/>
        <w:jc w:val="both"/>
        <w:rPr>
          <w:rFonts w:ascii="Times New Roman" w:eastAsia="Verdana" w:hAnsi="Times New Roman" w:cs="Times New Roman"/>
          <w:color w:val="000000"/>
          <w:lang w:val="ru-RU" w:eastAsia="en-GB"/>
        </w:rPr>
      </w:pPr>
      <w:r>
        <w:rPr>
          <w:rFonts w:ascii="Times New Roman" w:eastAsiaTheme="minorEastAsia" w:hAnsi="Times New Roman" w:cstheme="minorHAnsi"/>
          <w:color w:val="000000"/>
          <w:lang w:val="ru-RU" w:eastAsia="en-GB"/>
        </w:rPr>
        <w:t>- значення коефіцієнт теплопровідності вікна: макс. 1,1 Вт/(м</w:t>
      </w:r>
      <w:r>
        <w:rPr>
          <w:rFonts w:ascii="Times New Roman" w:eastAsiaTheme="minorEastAsia" w:hAnsi="Times New Roman" w:cstheme="minorHAnsi"/>
          <w:color w:val="000000"/>
          <w:vertAlign w:val="superscript"/>
          <w:lang w:val="ru-RU" w:eastAsia="en-GB"/>
        </w:rPr>
        <w:t>2</w:t>
      </w:r>
      <w:r>
        <w:rPr>
          <w:rFonts w:ascii="Times New Roman" w:eastAsiaTheme="minorEastAsia" w:hAnsi="Times New Roman" w:cstheme="minorHAnsi"/>
          <w:color w:val="000000"/>
          <w:lang w:val="ru-RU" w:eastAsia="en-GB"/>
        </w:rPr>
        <w:t xml:space="preserve"> × К) (потрібно надати останній сертифікат тестування для цього типу вікон, який повинен відповідати вимогам).</w:t>
      </w:r>
    </w:p>
    <w:p w:rsidR="00275E65" w:rsidRDefault="00902217">
      <w:pPr>
        <w:spacing w:after="0" w:line="276" w:lineRule="auto"/>
        <w:ind w:firstLine="709"/>
        <w:jc w:val="both"/>
        <w:rPr>
          <w:rFonts w:ascii="Times New Roman" w:eastAsia="Verdana" w:hAnsi="Times New Roman" w:cs="Times New Roman"/>
          <w:lang w:val="ru-RU" w:eastAsia="en-GB"/>
        </w:rPr>
      </w:pPr>
      <w:r>
        <w:rPr>
          <w:rFonts w:ascii="Times New Roman" w:eastAsiaTheme="minorEastAsia" w:hAnsi="Times New Roman" w:cstheme="minorHAnsi"/>
          <w:lang w:val="ru-RU" w:eastAsia="en-GB"/>
        </w:rPr>
        <w:t>Установка: виробник повинен надати чіткі інструкції з установки.</w:t>
      </w:r>
    </w:p>
    <w:p w:rsidR="00275E65" w:rsidRDefault="00902217">
      <w:pPr>
        <w:spacing w:after="0" w:line="276" w:lineRule="auto"/>
        <w:ind w:firstLine="709"/>
        <w:jc w:val="both"/>
        <w:rPr>
          <w:rFonts w:ascii="Times New Roman" w:hAnsi="Times New Roman" w:cs="Times New Roman"/>
          <w:lang w:val="ru-RU"/>
        </w:rPr>
      </w:pPr>
      <w:r>
        <w:rPr>
          <w:rFonts w:ascii="Times New Roman" w:eastAsiaTheme="minorEastAsia" w:hAnsi="Times New Roman" w:cstheme="minorHAnsi"/>
          <w:lang w:val="ru-RU" w:eastAsia="en-GB"/>
        </w:rPr>
        <w:t>Для того, щоб дозволити проникнення свіжого повітря, пропонується встановити вікна з вентиляційними кватирками (провітрювачами) для проникнення повітря в окремі приміщення. Вентиляційні квати</w:t>
      </w:r>
      <w:r>
        <w:rPr>
          <w:rFonts w:ascii="Times New Roman" w:eastAsiaTheme="minorEastAsia" w:hAnsi="Times New Roman" w:cstheme="minorHAnsi"/>
          <w:lang w:val="ru-RU" w:eastAsia="en-GB"/>
        </w:rPr>
        <w:t xml:space="preserve">рки планується встановлювати не на всіх вікнах, а за </w:t>
      </w:r>
    </w:p>
    <w:p w:rsidR="00275E65" w:rsidRDefault="00902217">
      <w:pPr>
        <w:pStyle w:val="ArHead3"/>
        <w:numPr>
          <w:ilvl w:val="0"/>
          <w:numId w:val="0"/>
        </w:numPr>
        <w:spacing w:after="0" w:line="276" w:lineRule="auto"/>
        <w:ind w:firstLine="709"/>
        <w:rPr>
          <w:rFonts w:ascii="Times New Roman" w:hAnsi="Times New Roman" w:cs="Times New Roman"/>
          <w:sz w:val="22"/>
        </w:rPr>
      </w:pPr>
      <w:bookmarkStart w:id="213" w:name="_Toc168064832"/>
      <w:r>
        <w:rPr>
          <w:rFonts w:ascii="Times New Roman" w:eastAsiaTheme="minorEastAsia" w:hAnsi="Times New Roman" w:cstheme="minorHAnsi"/>
          <w:sz w:val="22"/>
        </w:rPr>
        <w:t>Розрахунки будівель Носівської громади</w:t>
      </w:r>
      <w:bookmarkEnd w:id="213"/>
    </w:p>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902217">
      <w:pPr>
        <w:pStyle w:val="ArHead3"/>
        <w:numPr>
          <w:ilvl w:val="0"/>
          <w:numId w:val="0"/>
        </w:numPr>
        <w:spacing w:after="0" w:line="276" w:lineRule="auto"/>
        <w:ind w:firstLine="709"/>
        <w:rPr>
          <w:rFonts w:ascii="Times New Roman" w:hAnsi="Times New Roman" w:cs="Times New Roman"/>
          <w:sz w:val="22"/>
        </w:rPr>
      </w:pPr>
      <w:bookmarkStart w:id="214" w:name="_Toc168064833"/>
      <w:r>
        <w:rPr>
          <w:rFonts w:ascii="Times New Roman" w:eastAsiaTheme="minorEastAsia" w:hAnsi="Times New Roman" w:cstheme="minorHAnsi"/>
          <w:sz w:val="22"/>
        </w:rPr>
        <w:t>Володьководівицький ліцей</w:t>
      </w:r>
      <w:bookmarkEnd w:id="214"/>
      <w:r>
        <w:rPr>
          <w:rFonts w:ascii="Times New Roman" w:eastAsiaTheme="minorEastAsia" w:hAnsi="Times New Roman" w:cstheme="minorHAnsi"/>
          <w:sz w:val="22"/>
        </w:rPr>
        <w:t xml:space="preserve"> </w:t>
      </w:r>
    </w:p>
    <w:tbl>
      <w:tblPr>
        <w:tblW w:w="7980" w:type="dxa"/>
        <w:tblLook w:val="04A0" w:firstRow="1" w:lastRow="0" w:firstColumn="1" w:lastColumn="0" w:noHBand="0" w:noVBand="1"/>
      </w:tblPr>
      <w:tblGrid>
        <w:gridCol w:w="3540"/>
        <w:gridCol w:w="1486"/>
        <w:gridCol w:w="637"/>
        <w:gridCol w:w="2317"/>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0"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Володьководівицький ліцей корпус №1</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2988,18</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9562,176</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1588,9</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95333,1</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309,4</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49504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504</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24948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504</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17640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572,925</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17187,75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24300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6640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747,045</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26146,575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1500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263199,425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32899,92813</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26319,9425</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486"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37"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317"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322419,2956</w:t>
            </w:r>
          </w:p>
        </w:tc>
      </w:tr>
    </w:tbl>
    <w:p w:rsidR="00275E65" w:rsidRDefault="00275E65">
      <w:pPr>
        <w:tabs>
          <w:tab w:val="left" w:pos="709"/>
        </w:tabs>
        <w:spacing w:after="0" w:line="276" w:lineRule="auto"/>
        <w:ind w:firstLine="851"/>
        <w:jc w:val="both"/>
        <w:rPr>
          <w:rFonts w:ascii="Times New Roman" w:hAnsi="Times New Roman" w:cs="Times New Roman"/>
          <w:lang w:val="uk-UA"/>
        </w:rPr>
      </w:pPr>
    </w:p>
    <w:p w:rsidR="00275E65" w:rsidRDefault="00275E65">
      <w:pPr>
        <w:tabs>
          <w:tab w:val="left" w:pos="709"/>
        </w:tabs>
        <w:spacing w:after="0" w:line="276" w:lineRule="auto"/>
        <w:ind w:firstLine="851"/>
        <w:jc w:val="both"/>
        <w:rPr>
          <w:rFonts w:ascii="Times New Roman" w:hAnsi="Times New Roman" w:cs="Times New Roman"/>
          <w:lang w:val="uk-UA"/>
        </w:rPr>
      </w:pPr>
    </w:p>
    <w:tbl>
      <w:tblPr>
        <w:tblW w:w="7981" w:type="dxa"/>
        <w:tblLook w:val="04A0" w:firstRow="1" w:lastRow="0" w:firstColumn="1" w:lastColumn="0" w:noHBand="0" w:noVBand="1"/>
      </w:tblPr>
      <w:tblGrid>
        <w:gridCol w:w="3540"/>
        <w:gridCol w:w="1608"/>
        <w:gridCol w:w="611"/>
        <w:gridCol w:w="2222"/>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1"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Володьководівицький ліцей корпус №2</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732,315</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2196,945</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430,98</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25858,8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128,52</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20563,2</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504</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24948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504</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17640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140,25</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4207,5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24300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6640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183,07875</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6407,75625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1500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132065,2563</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16508,15703</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13206,52563</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608"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11"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222"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161779,9389</w:t>
            </w:r>
          </w:p>
        </w:tc>
      </w:tr>
    </w:tbl>
    <w:p w:rsidR="00275E65" w:rsidRDefault="00902217">
      <w:pPr>
        <w:tabs>
          <w:tab w:val="left" w:pos="709"/>
        </w:tabs>
        <w:spacing w:after="0" w:line="276" w:lineRule="auto"/>
        <w:jc w:val="both"/>
        <w:rPr>
          <w:rFonts w:ascii="Times New Roman" w:hAnsi="Times New Roman" w:cs="Times New Roman"/>
          <w:b/>
          <w:color w:val="44546A"/>
          <w:lang w:val="uk-UA"/>
        </w:rPr>
      </w:pPr>
      <w:r>
        <w:rPr>
          <w:rFonts w:ascii="Times New Roman" w:eastAsiaTheme="minorEastAsia" w:hAnsi="Times New Roman" w:cstheme="minorHAnsi"/>
          <w:b/>
          <w:color w:val="44546A" w:themeColor="text2"/>
          <w:lang w:val="uk-UA"/>
        </w:rPr>
        <w:t>Носівська гімназія №2</w:t>
      </w:r>
    </w:p>
    <w:p w:rsidR="00275E65" w:rsidRDefault="00275E65">
      <w:pPr>
        <w:tabs>
          <w:tab w:val="left" w:pos="709"/>
        </w:tabs>
        <w:spacing w:after="0" w:line="276" w:lineRule="auto"/>
        <w:jc w:val="both"/>
        <w:rPr>
          <w:rFonts w:ascii="Times New Roman" w:hAnsi="Times New Roman" w:cs="Times New Roman"/>
          <w:lang w:val="uk-UA"/>
        </w:rPr>
      </w:pPr>
    </w:p>
    <w:tbl>
      <w:tblPr>
        <w:tblW w:w="7980" w:type="dxa"/>
        <w:tblLook w:val="04A0" w:firstRow="1" w:lastRow="0" w:firstColumn="1" w:lastColumn="0" w:noHBand="0" w:noVBand="1"/>
      </w:tblPr>
      <w:tblGrid>
        <w:gridCol w:w="3540"/>
        <w:gridCol w:w="1721"/>
        <w:gridCol w:w="586"/>
        <w:gridCol w:w="2133"/>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0"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Носівська гімназія №2</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1807,8645</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5423,5935</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799,26</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47955,6</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257,04</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41126,4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952</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47124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952</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33320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262,575</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7877,25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108</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48600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19920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451,966125</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15819</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2500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264242,0644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33030,25805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72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5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133"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26424,20644</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721"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586"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133"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323696,5289</w:t>
            </w:r>
          </w:p>
        </w:tc>
      </w:tr>
    </w:tbl>
    <w:p w:rsidR="00275E65" w:rsidRDefault="00275E65">
      <w:pPr>
        <w:tabs>
          <w:tab w:val="left" w:pos="709"/>
        </w:tabs>
        <w:spacing w:after="0" w:line="276" w:lineRule="auto"/>
        <w:jc w:val="both"/>
        <w:rPr>
          <w:rFonts w:ascii="Times New Roman" w:hAnsi="Times New Roman" w:cs="Times New Roman"/>
          <w:lang w:val="uk-UA"/>
        </w:rPr>
      </w:pPr>
    </w:p>
    <w:p w:rsidR="00275E65" w:rsidRDefault="00902217">
      <w:pPr>
        <w:tabs>
          <w:tab w:val="left" w:pos="709"/>
        </w:tabs>
        <w:spacing w:after="0" w:line="276" w:lineRule="auto"/>
        <w:jc w:val="both"/>
        <w:rPr>
          <w:rFonts w:ascii="Times New Roman" w:hAnsi="Times New Roman" w:cs="Times New Roman"/>
          <w:b/>
          <w:color w:val="44546A"/>
          <w:lang w:val="uk-UA"/>
        </w:rPr>
      </w:pPr>
      <w:r>
        <w:rPr>
          <w:rFonts w:ascii="Times New Roman" w:eastAsiaTheme="minorEastAsia" w:hAnsi="Times New Roman" w:cstheme="minorHAnsi"/>
          <w:b/>
          <w:color w:val="44546A" w:themeColor="text2"/>
          <w:lang w:val="uk-UA"/>
        </w:rPr>
        <w:t>Носівська гімназія №3</w:t>
      </w:r>
    </w:p>
    <w:tbl>
      <w:tblPr>
        <w:tblW w:w="7980" w:type="dxa"/>
        <w:tblLook w:val="04A0" w:firstRow="1" w:lastRow="0" w:firstColumn="1" w:lastColumn="0" w:noHBand="0" w:noVBand="1"/>
      </w:tblPr>
      <w:tblGrid>
        <w:gridCol w:w="3540"/>
        <w:gridCol w:w="1486"/>
        <w:gridCol w:w="637"/>
        <w:gridCol w:w="2317"/>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0"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Носівська гімназія №3 Корпус 1</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1020,63</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3061,89</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595,48</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35728,8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104,72</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16755,2</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544</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26928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544</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19040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175,05</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5251,5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12000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108</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48600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19920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255,1575</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8931</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195054,0125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24381,75156</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19505,40125</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486"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37"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317"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238941,1653</w:t>
            </w:r>
          </w:p>
        </w:tc>
      </w:tr>
    </w:tbl>
    <w:p w:rsidR="00275E65" w:rsidRDefault="00275E65">
      <w:pPr>
        <w:tabs>
          <w:tab w:val="left" w:pos="709"/>
        </w:tabs>
        <w:spacing w:after="0" w:line="276" w:lineRule="auto"/>
        <w:jc w:val="both"/>
        <w:rPr>
          <w:rFonts w:ascii="Times New Roman" w:hAnsi="Times New Roman" w:cs="Times New Roman"/>
          <w:lang w:val="uk-UA"/>
        </w:rPr>
      </w:pPr>
    </w:p>
    <w:p w:rsidR="00275E65" w:rsidRDefault="00275E65">
      <w:pPr>
        <w:tabs>
          <w:tab w:val="left" w:pos="709"/>
        </w:tabs>
        <w:spacing w:after="0" w:line="276" w:lineRule="auto"/>
        <w:jc w:val="both"/>
        <w:rPr>
          <w:rFonts w:ascii="Times New Roman" w:hAnsi="Times New Roman" w:cs="Times New Roman"/>
          <w:lang w:val="uk-UA"/>
        </w:rPr>
      </w:pPr>
    </w:p>
    <w:tbl>
      <w:tblPr>
        <w:tblW w:w="7981" w:type="dxa"/>
        <w:tblLook w:val="04A0" w:firstRow="1" w:lastRow="0" w:firstColumn="1" w:lastColumn="0" w:noHBand="0" w:noVBand="1"/>
      </w:tblPr>
      <w:tblGrid>
        <w:gridCol w:w="3540"/>
        <w:gridCol w:w="1208"/>
        <w:gridCol w:w="697"/>
        <w:gridCol w:w="2536"/>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1"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Носівська гімназія №3 Спальня-Їдальня</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180,2</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594,66</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196,6</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11796</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47,6</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7616</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180,2</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8919,9</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180,2</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6307</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111,3</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3339</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0,5</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8000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9000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5810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45,05</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1577</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64264,65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8033,08125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6426,465</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208"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97"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536"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78724,19625</w:t>
            </w:r>
          </w:p>
        </w:tc>
      </w:tr>
    </w:tbl>
    <w:p w:rsidR="00275E65" w:rsidRDefault="00275E65">
      <w:pPr>
        <w:tabs>
          <w:tab w:val="left" w:pos="709"/>
        </w:tabs>
        <w:spacing w:after="0" w:line="276" w:lineRule="auto"/>
        <w:jc w:val="both"/>
        <w:rPr>
          <w:rFonts w:ascii="Times New Roman" w:hAnsi="Times New Roman" w:cs="Times New Roman"/>
          <w:lang w:val="uk-UA"/>
        </w:rPr>
      </w:pPr>
    </w:p>
    <w:p w:rsidR="00275E65" w:rsidRDefault="00275E65">
      <w:pPr>
        <w:tabs>
          <w:tab w:val="left" w:pos="709"/>
        </w:tabs>
        <w:spacing w:after="0" w:line="276" w:lineRule="auto"/>
        <w:jc w:val="both"/>
        <w:rPr>
          <w:rFonts w:ascii="Times New Roman" w:hAnsi="Times New Roman" w:cs="Times New Roman"/>
          <w:lang w:val="uk-UA"/>
        </w:rPr>
      </w:pPr>
    </w:p>
    <w:tbl>
      <w:tblPr>
        <w:tblW w:w="7981" w:type="dxa"/>
        <w:tblLook w:val="04A0" w:firstRow="1" w:lastRow="0" w:firstColumn="1" w:lastColumn="0" w:noHBand="0" w:noVBand="1"/>
      </w:tblPr>
      <w:tblGrid>
        <w:gridCol w:w="3540"/>
        <w:gridCol w:w="1208"/>
        <w:gridCol w:w="697"/>
        <w:gridCol w:w="2536"/>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1"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Носівська гімназія №3 Їдальня</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170,3</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510,9</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157,3</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9438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26,18</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4188,8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183,3</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9073,35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183,3</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6415,5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83,4</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2502</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3320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42,575</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1490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43727,775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5465,971875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2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536"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4372,7775</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208"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97"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536"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53566,52438</w:t>
            </w:r>
          </w:p>
        </w:tc>
      </w:tr>
    </w:tbl>
    <w:p w:rsidR="00275E65" w:rsidRDefault="00275E65">
      <w:pPr>
        <w:tabs>
          <w:tab w:val="left" w:pos="709"/>
        </w:tabs>
        <w:spacing w:after="0" w:line="276" w:lineRule="auto"/>
        <w:jc w:val="both"/>
        <w:rPr>
          <w:rFonts w:ascii="Times New Roman" w:hAnsi="Times New Roman" w:cs="Times New Roman"/>
          <w:lang w:val="uk-UA"/>
        </w:rPr>
      </w:pPr>
    </w:p>
    <w:p w:rsidR="00275E65" w:rsidRDefault="00275E65">
      <w:pPr>
        <w:tabs>
          <w:tab w:val="left" w:pos="709"/>
        </w:tabs>
        <w:spacing w:after="0" w:line="276" w:lineRule="auto"/>
        <w:jc w:val="both"/>
        <w:rPr>
          <w:rFonts w:ascii="Times New Roman" w:hAnsi="Times New Roman" w:cs="Times New Roman"/>
          <w:lang w:val="uk-UA"/>
        </w:rPr>
      </w:pPr>
    </w:p>
    <w:p w:rsidR="00275E65" w:rsidRDefault="00275E65">
      <w:pPr>
        <w:tabs>
          <w:tab w:val="left" w:pos="709"/>
        </w:tabs>
        <w:spacing w:after="0" w:line="276" w:lineRule="auto"/>
        <w:jc w:val="both"/>
        <w:rPr>
          <w:rFonts w:ascii="Times New Roman" w:hAnsi="Times New Roman" w:cs="Times New Roman"/>
          <w:lang w:val="uk-UA"/>
        </w:rPr>
      </w:pPr>
    </w:p>
    <w:tbl>
      <w:tblPr>
        <w:tblW w:w="7980" w:type="dxa"/>
        <w:tblLook w:val="04A0" w:firstRow="1" w:lastRow="0" w:firstColumn="1" w:lastColumn="0" w:noHBand="0" w:noVBand="1"/>
      </w:tblPr>
      <w:tblGrid>
        <w:gridCol w:w="3540"/>
        <w:gridCol w:w="1486"/>
        <w:gridCol w:w="637"/>
        <w:gridCol w:w="2317"/>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0"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Носівська гімназія №3 Корпус 2</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678,69</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2036,07</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506,39</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30383,4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88,06</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14089,6</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544</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26928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544</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19040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183,225</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5496,75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12000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38</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17100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23</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9545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169,6725</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5939</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142421,2875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17802,66094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14242,12875</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486"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37"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317"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174466,0772</w:t>
            </w:r>
          </w:p>
        </w:tc>
      </w:tr>
    </w:tbl>
    <w:p w:rsidR="00275E65" w:rsidRDefault="00275E65">
      <w:pPr>
        <w:tabs>
          <w:tab w:val="left" w:pos="709"/>
        </w:tabs>
        <w:spacing w:after="0" w:line="276" w:lineRule="auto"/>
        <w:jc w:val="both"/>
        <w:rPr>
          <w:rFonts w:ascii="Times New Roman" w:hAnsi="Times New Roman" w:cs="Times New Roman"/>
          <w:lang w:val="uk-UA"/>
        </w:rPr>
      </w:pPr>
    </w:p>
    <w:p w:rsidR="00275E65" w:rsidRDefault="00275E65">
      <w:pPr>
        <w:tabs>
          <w:tab w:val="left" w:pos="709"/>
        </w:tabs>
        <w:spacing w:after="0" w:line="276" w:lineRule="auto"/>
        <w:jc w:val="both"/>
        <w:rPr>
          <w:rFonts w:ascii="Times New Roman" w:hAnsi="Times New Roman" w:cs="Times New Roman"/>
          <w:lang w:val="uk-UA"/>
        </w:rPr>
      </w:pPr>
    </w:p>
    <w:tbl>
      <w:tblPr>
        <w:tblW w:w="7981" w:type="dxa"/>
        <w:tblLook w:val="04A0" w:firstRow="1" w:lastRow="0" w:firstColumn="1" w:lastColumn="0" w:noHBand="0" w:noVBand="1"/>
      </w:tblPr>
      <w:tblGrid>
        <w:gridCol w:w="3540"/>
        <w:gridCol w:w="1353"/>
        <w:gridCol w:w="666"/>
        <w:gridCol w:w="2422"/>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1"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Носівська гімназія №3 Корпус 3</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320</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1056</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240,359</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14421,54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66,64</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10662,4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323</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15988,5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323</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11305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139,575</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4187,25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12000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28</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12600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8300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80</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2800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94164,69</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11770,58625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9416,469</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353"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66"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422"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115351,7453</w:t>
            </w:r>
          </w:p>
        </w:tc>
      </w:tr>
    </w:tbl>
    <w:p w:rsidR="00275E65" w:rsidRDefault="00275E65">
      <w:pPr>
        <w:tabs>
          <w:tab w:val="left" w:pos="709"/>
        </w:tabs>
        <w:spacing w:after="0" w:line="276" w:lineRule="auto"/>
        <w:jc w:val="both"/>
        <w:rPr>
          <w:rFonts w:ascii="Times New Roman" w:hAnsi="Times New Roman" w:cs="Times New Roman"/>
          <w:lang w:val="uk-UA"/>
        </w:rPr>
      </w:pPr>
    </w:p>
    <w:p w:rsidR="00275E65" w:rsidRDefault="00275E65">
      <w:pPr>
        <w:tabs>
          <w:tab w:val="left" w:pos="709"/>
        </w:tabs>
        <w:spacing w:after="0" w:line="276" w:lineRule="auto"/>
        <w:jc w:val="both"/>
        <w:rPr>
          <w:rFonts w:ascii="Times New Roman" w:hAnsi="Times New Roman" w:cs="Times New Roman"/>
          <w:lang w:val="uk-UA"/>
        </w:rPr>
      </w:pPr>
    </w:p>
    <w:p w:rsidR="00275E65" w:rsidRDefault="00902217">
      <w:pPr>
        <w:tabs>
          <w:tab w:val="left" w:pos="709"/>
        </w:tabs>
        <w:spacing w:after="0" w:line="276" w:lineRule="auto"/>
        <w:jc w:val="both"/>
        <w:rPr>
          <w:rFonts w:ascii="Times New Roman" w:hAnsi="Times New Roman" w:cs="Times New Roman"/>
          <w:b/>
          <w:color w:val="44546A"/>
          <w:lang w:val="uk-UA"/>
        </w:rPr>
      </w:pPr>
      <w:r>
        <w:rPr>
          <w:rFonts w:ascii="Times New Roman" w:eastAsiaTheme="minorEastAsia" w:hAnsi="Times New Roman" w:cstheme="minorHAnsi"/>
          <w:b/>
          <w:color w:val="44546A" w:themeColor="text2"/>
          <w:lang w:val="uk-UA"/>
        </w:rPr>
        <w:t>ДНЗ Барвінок</w:t>
      </w:r>
    </w:p>
    <w:tbl>
      <w:tblPr>
        <w:tblW w:w="7981" w:type="dxa"/>
        <w:tblLook w:val="04A0" w:firstRow="1" w:lastRow="0" w:firstColumn="1" w:lastColumn="0" w:noHBand="0" w:noVBand="1"/>
      </w:tblPr>
      <w:tblGrid>
        <w:gridCol w:w="3540"/>
        <w:gridCol w:w="1353"/>
        <w:gridCol w:w="666"/>
        <w:gridCol w:w="2422"/>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1"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ДНЗ Барвінок</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2280,6</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6841,8</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1388,44</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83306,4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290,36</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46457,6</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1225</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60637,5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1225</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42875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559,6</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16788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122</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54900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62</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25730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570,15</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19955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352549,75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44068,71875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35254,975</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353"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66"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422"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431873,4438</w:t>
            </w:r>
          </w:p>
        </w:tc>
      </w:tr>
    </w:tbl>
    <w:p w:rsidR="00275E65" w:rsidRDefault="00275E65">
      <w:pPr>
        <w:tabs>
          <w:tab w:val="left" w:pos="709"/>
        </w:tabs>
        <w:spacing w:after="0" w:line="276" w:lineRule="auto"/>
        <w:jc w:val="both"/>
        <w:rPr>
          <w:rFonts w:ascii="Times New Roman" w:hAnsi="Times New Roman" w:cs="Times New Roman"/>
          <w:lang w:val="uk-UA"/>
        </w:rPr>
      </w:pPr>
    </w:p>
    <w:p w:rsidR="00275E65" w:rsidRDefault="00275E65">
      <w:pPr>
        <w:tabs>
          <w:tab w:val="left" w:pos="709"/>
        </w:tabs>
        <w:spacing w:after="0" w:line="276" w:lineRule="auto"/>
        <w:jc w:val="both"/>
        <w:rPr>
          <w:rFonts w:ascii="Times New Roman" w:hAnsi="Times New Roman" w:cs="Times New Roman"/>
          <w:b/>
          <w:color w:val="44546A"/>
          <w:lang w:val="uk-UA"/>
        </w:rPr>
      </w:pPr>
    </w:p>
    <w:p w:rsidR="00275E65" w:rsidRDefault="00902217">
      <w:pPr>
        <w:tabs>
          <w:tab w:val="left" w:pos="709"/>
        </w:tabs>
        <w:spacing w:after="0" w:line="276" w:lineRule="auto"/>
        <w:jc w:val="both"/>
        <w:rPr>
          <w:rFonts w:ascii="Times New Roman" w:hAnsi="Times New Roman" w:cs="Times New Roman"/>
          <w:b/>
          <w:color w:val="44546A" w:themeColor="text2"/>
          <w:lang w:val="uk-UA"/>
        </w:rPr>
      </w:pPr>
      <w:r>
        <w:rPr>
          <w:rFonts w:ascii="Times New Roman" w:eastAsiaTheme="minorEastAsia" w:hAnsi="Times New Roman" w:cstheme="minorHAnsi"/>
          <w:b/>
          <w:color w:val="44546A" w:themeColor="text2"/>
          <w:lang w:val="uk-UA"/>
        </w:rPr>
        <w:t>Носівський ліцей №1</w:t>
      </w:r>
    </w:p>
    <w:tbl>
      <w:tblPr>
        <w:tblW w:w="7980" w:type="dxa"/>
        <w:tblLook w:val="04A0" w:firstRow="1" w:lastRow="0" w:firstColumn="1" w:lastColumn="0" w:noHBand="0" w:noVBand="1"/>
      </w:tblPr>
      <w:tblGrid>
        <w:gridCol w:w="3540"/>
        <w:gridCol w:w="1486"/>
        <w:gridCol w:w="637"/>
        <w:gridCol w:w="2317"/>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0"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Носівський ліцей №1 Початкова школа</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8220,3</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24660,9</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2272,06</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136323,6</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978,44</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156550,4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3938</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194931</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3938</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137830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1049,4</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31482</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346</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155700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210</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87150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2055,075</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71928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973794,625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121724,3281</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48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37"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317"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97379,4625</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486"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37"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317"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1192898,416</w:t>
            </w:r>
          </w:p>
        </w:tc>
      </w:tr>
    </w:tbl>
    <w:p w:rsidR="00275E65" w:rsidRDefault="00275E65">
      <w:pPr>
        <w:tabs>
          <w:tab w:val="left" w:pos="709"/>
        </w:tabs>
        <w:spacing w:after="0" w:line="276" w:lineRule="auto"/>
        <w:jc w:val="both"/>
        <w:rPr>
          <w:rFonts w:ascii="Times New Roman" w:hAnsi="Times New Roman" w:cs="Times New Roman"/>
          <w:lang w:val="uk-UA"/>
        </w:rPr>
      </w:pPr>
    </w:p>
    <w:p w:rsidR="00275E65" w:rsidRDefault="00275E65">
      <w:pPr>
        <w:tabs>
          <w:tab w:val="left" w:pos="709"/>
        </w:tabs>
        <w:spacing w:after="0" w:line="276" w:lineRule="auto"/>
        <w:jc w:val="both"/>
        <w:rPr>
          <w:rFonts w:ascii="Times New Roman" w:hAnsi="Times New Roman" w:cs="Times New Roman"/>
          <w:lang w:val="uk-UA"/>
        </w:rPr>
      </w:pPr>
    </w:p>
    <w:p w:rsidR="00275E65" w:rsidRDefault="00902217">
      <w:pPr>
        <w:tabs>
          <w:tab w:val="left" w:pos="709"/>
        </w:tabs>
        <w:spacing w:after="0" w:line="276" w:lineRule="auto"/>
        <w:jc w:val="both"/>
        <w:rPr>
          <w:rFonts w:ascii="Times New Roman" w:hAnsi="Times New Roman" w:cs="Times New Roman"/>
          <w:b/>
          <w:color w:val="44546A"/>
          <w:lang w:val="uk-UA"/>
        </w:rPr>
      </w:pPr>
      <w:r>
        <w:rPr>
          <w:rFonts w:ascii="Times New Roman" w:eastAsiaTheme="minorEastAsia" w:hAnsi="Times New Roman" w:cstheme="minorHAnsi"/>
          <w:b/>
          <w:color w:val="44546A" w:themeColor="text2"/>
          <w:lang w:val="uk-UA"/>
        </w:rPr>
        <w:t>Центр дитячо-бнацької творчості</w:t>
      </w:r>
    </w:p>
    <w:p w:rsidR="00275E65" w:rsidRDefault="00275E65">
      <w:pPr>
        <w:tabs>
          <w:tab w:val="left" w:pos="709"/>
        </w:tabs>
        <w:spacing w:after="0" w:line="276" w:lineRule="auto"/>
        <w:jc w:val="both"/>
        <w:rPr>
          <w:rFonts w:ascii="Times New Roman" w:hAnsi="Times New Roman" w:cs="Times New Roman"/>
          <w:lang w:val="uk-UA"/>
        </w:rPr>
      </w:pPr>
    </w:p>
    <w:tbl>
      <w:tblPr>
        <w:tblW w:w="7981" w:type="dxa"/>
        <w:tblLook w:val="04A0" w:firstRow="1" w:lastRow="0" w:firstColumn="1" w:lastColumn="0" w:noHBand="0" w:noVBand="1"/>
      </w:tblPr>
      <w:tblGrid>
        <w:gridCol w:w="3540"/>
        <w:gridCol w:w="1608"/>
        <w:gridCol w:w="611"/>
        <w:gridCol w:w="2222"/>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1"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lang w:val="uk-UA"/>
              </w:rPr>
            </w:pPr>
            <w:r>
              <w:rPr>
                <w:rFonts w:ascii="Calibri" w:eastAsia="Times New Roman" w:hAnsi="Calibri" w:cs="Calibri"/>
                <w:b/>
                <w:bCs/>
                <w:color w:val="000000"/>
                <w:lang w:val="uk-UA"/>
              </w:rPr>
              <w:t>Центр дитячо-бнацької творчості</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754,752</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2490,6816</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426,4</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25584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133,28</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21324,8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410</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20295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410</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14350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127,2</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3816</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56</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25200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36</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14940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188,688</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6604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134013,88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16751,735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13401,388</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608"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11"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222"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164167,003</w:t>
            </w:r>
          </w:p>
        </w:tc>
      </w:tr>
    </w:tbl>
    <w:p w:rsidR="00275E65" w:rsidRDefault="00275E65">
      <w:pPr>
        <w:tabs>
          <w:tab w:val="left" w:pos="709"/>
        </w:tabs>
        <w:spacing w:after="0" w:line="276" w:lineRule="auto"/>
        <w:jc w:val="both"/>
        <w:rPr>
          <w:rFonts w:ascii="Times New Roman" w:hAnsi="Times New Roman" w:cs="Times New Roman"/>
          <w:lang w:val="uk-UA"/>
        </w:rPr>
      </w:pPr>
    </w:p>
    <w:p w:rsidR="00275E65" w:rsidRDefault="00902217">
      <w:pPr>
        <w:tabs>
          <w:tab w:val="left" w:pos="709"/>
        </w:tabs>
        <w:spacing w:after="0" w:line="276" w:lineRule="auto"/>
        <w:jc w:val="both"/>
        <w:rPr>
          <w:rFonts w:ascii="Times New Roman" w:hAnsi="Times New Roman" w:cs="Times New Roman"/>
          <w:b/>
          <w:color w:val="44546A"/>
          <w:lang w:val="uk-UA"/>
        </w:rPr>
      </w:pPr>
      <w:r>
        <w:rPr>
          <w:rFonts w:ascii="Times New Roman" w:eastAsiaTheme="minorEastAsia" w:hAnsi="Times New Roman" w:cstheme="minorHAnsi"/>
          <w:b/>
          <w:color w:val="44546A" w:themeColor="text2"/>
          <w:lang w:val="uk-UA"/>
        </w:rPr>
        <w:t>Міскьа лікарня</w:t>
      </w:r>
    </w:p>
    <w:p w:rsidR="00275E65" w:rsidRDefault="00275E65">
      <w:pPr>
        <w:tabs>
          <w:tab w:val="left" w:pos="709"/>
        </w:tabs>
        <w:spacing w:after="0" w:line="276" w:lineRule="auto"/>
        <w:jc w:val="both"/>
        <w:rPr>
          <w:rFonts w:ascii="Times New Roman" w:hAnsi="Times New Roman" w:cs="Times New Roman"/>
          <w:b/>
          <w:color w:val="44546A"/>
          <w:lang w:val="uk-UA"/>
        </w:rPr>
      </w:pPr>
    </w:p>
    <w:tbl>
      <w:tblPr>
        <w:tblW w:w="7981" w:type="dxa"/>
        <w:tblLook w:val="04A0" w:firstRow="1" w:lastRow="0" w:firstColumn="1" w:lastColumn="0" w:noHBand="0" w:noVBand="1"/>
      </w:tblPr>
      <w:tblGrid>
        <w:gridCol w:w="3540"/>
        <w:gridCol w:w="1353"/>
        <w:gridCol w:w="666"/>
        <w:gridCol w:w="2422"/>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1"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lang w:val="uk-UA"/>
              </w:rPr>
            </w:pPr>
            <w:r>
              <w:rPr>
                <w:rFonts w:ascii="Calibri" w:eastAsia="Times New Roman" w:hAnsi="Calibri" w:cs="Calibri"/>
                <w:b/>
                <w:bCs/>
                <w:color w:val="000000"/>
                <w:lang w:val="uk-UA"/>
              </w:rPr>
              <w:t>Пологовий будинок</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1434,1</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4302,3</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659,76</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39585,6</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185,64</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29702,4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827</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40936,5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827</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28945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241,8</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7254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12000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78</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35100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32</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13280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358,525</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12548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1900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221251,875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27656,48438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22125,1875</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353"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66"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422"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271033,5469</w:t>
            </w:r>
          </w:p>
        </w:tc>
      </w:tr>
    </w:tbl>
    <w:p w:rsidR="00275E65" w:rsidRDefault="00275E65">
      <w:pPr>
        <w:tabs>
          <w:tab w:val="left" w:pos="709"/>
        </w:tabs>
        <w:spacing w:after="0" w:line="276" w:lineRule="auto"/>
        <w:jc w:val="both"/>
        <w:rPr>
          <w:rFonts w:ascii="Times New Roman" w:hAnsi="Times New Roman" w:cs="Times New Roman"/>
          <w:lang w:val="uk-UA"/>
        </w:rPr>
      </w:pPr>
    </w:p>
    <w:tbl>
      <w:tblPr>
        <w:tblW w:w="7981" w:type="dxa"/>
        <w:tblLook w:val="04A0" w:firstRow="1" w:lastRow="0" w:firstColumn="1" w:lastColumn="0" w:noHBand="0" w:noVBand="1"/>
      </w:tblPr>
      <w:tblGrid>
        <w:gridCol w:w="3540"/>
        <w:gridCol w:w="1353"/>
        <w:gridCol w:w="666"/>
        <w:gridCol w:w="2422"/>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1"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lang w:val="uk-UA"/>
              </w:rPr>
            </w:pPr>
            <w:r>
              <w:rPr>
                <w:rFonts w:ascii="Calibri" w:eastAsia="Times New Roman" w:hAnsi="Calibri" w:cs="Calibri"/>
                <w:b/>
                <w:bCs/>
                <w:color w:val="000000"/>
                <w:lang w:val="uk-UA"/>
              </w:rPr>
              <w:t>Стаціонарне відділення</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3211</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9633</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1041,28</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62476,8</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390,32</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62451,2</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1629,5</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80660,25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1629,5</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57032,5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357,9</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10737</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12000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162</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72900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108</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44820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802,75</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28096</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2400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433574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54196,75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43357,4</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353"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66"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422"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531128,15</w:t>
            </w:r>
          </w:p>
        </w:tc>
      </w:tr>
    </w:tbl>
    <w:p w:rsidR="00275E65" w:rsidRDefault="00275E65">
      <w:pPr>
        <w:tabs>
          <w:tab w:val="left" w:pos="709"/>
        </w:tabs>
        <w:spacing w:after="0" w:line="276" w:lineRule="auto"/>
        <w:jc w:val="both"/>
        <w:rPr>
          <w:rFonts w:ascii="Times New Roman" w:hAnsi="Times New Roman" w:cs="Times New Roman"/>
          <w:lang w:val="uk-UA"/>
        </w:rPr>
      </w:pPr>
    </w:p>
    <w:p w:rsidR="00275E65" w:rsidRDefault="00275E65">
      <w:pPr>
        <w:tabs>
          <w:tab w:val="left" w:pos="709"/>
        </w:tabs>
        <w:spacing w:after="0" w:line="276" w:lineRule="auto"/>
        <w:jc w:val="both"/>
        <w:rPr>
          <w:rFonts w:ascii="Times New Roman" w:hAnsi="Times New Roman" w:cs="Times New Roman"/>
          <w:lang w:val="uk-UA"/>
        </w:rPr>
      </w:pPr>
    </w:p>
    <w:tbl>
      <w:tblPr>
        <w:tblW w:w="7981" w:type="dxa"/>
        <w:tblLook w:val="04A0" w:firstRow="1" w:lastRow="0" w:firstColumn="1" w:lastColumn="0" w:noHBand="0" w:noVBand="1"/>
      </w:tblPr>
      <w:tblGrid>
        <w:gridCol w:w="3540"/>
        <w:gridCol w:w="1608"/>
        <w:gridCol w:w="611"/>
        <w:gridCol w:w="2222"/>
      </w:tblGrid>
      <w:tr w:rsidR="00275E65">
        <w:trPr>
          <w:trHeight w:val="288"/>
        </w:trPr>
        <w:tc>
          <w:tcPr>
            <w:tcW w:w="3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Будівля </w:t>
            </w:r>
          </w:p>
        </w:tc>
        <w:tc>
          <w:tcPr>
            <w:tcW w:w="4441" w:type="dxa"/>
            <w:gridSpan w:val="3"/>
            <w:tcBorders>
              <w:top w:val="single" w:sz="8" w:space="0" w:color="auto"/>
              <w:left w:val="none" w:sz="4" w:space="0" w:color="000000"/>
              <w:bottom w:val="single" w:sz="4" w:space="0" w:color="auto"/>
              <w:right w:val="single" w:sz="8" w:space="0" w:color="000000"/>
            </w:tcBorders>
            <w:shd w:val="clear" w:color="auto" w:fill="auto"/>
            <w:noWrap/>
            <w:vAlign w:val="bottom"/>
          </w:tcPr>
          <w:p w:rsidR="00275E65" w:rsidRDefault="00902217">
            <w:pPr>
              <w:spacing w:after="0" w:line="240" w:lineRule="auto"/>
              <w:jc w:val="center"/>
              <w:rPr>
                <w:rFonts w:ascii="Calibri" w:eastAsia="Times New Roman" w:hAnsi="Calibri" w:cs="Calibri"/>
                <w:b/>
                <w:bCs/>
                <w:color w:val="000000"/>
                <w:lang w:val="uk-UA"/>
              </w:rPr>
            </w:pPr>
            <w:r>
              <w:rPr>
                <w:rFonts w:ascii="Calibri" w:eastAsia="Times New Roman" w:hAnsi="Calibri" w:cs="Calibri"/>
                <w:b/>
                <w:bCs/>
                <w:color w:val="000000"/>
                <w:lang w:val="uk-UA"/>
              </w:rPr>
              <w:t>Поліклініка</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м2/шт</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Тип</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Вартість, Євро</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Опалювальна площа</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3283,38</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Опалювальний обєм</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10178,478</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стін</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494,34</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29660,4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Загальна площа вікон, дверей</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447,44</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71590,4</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Площа даху </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825,3</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40852,35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підлоги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825,3</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28885,5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Площа утеплення цоколю, підвалу</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227,85</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6835,5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ІТП</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12000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Система опалення</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188</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84600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Вентиляція</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126</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52290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Освітлення</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820,845</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28730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Водовідливи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2400</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РАЗОМ:</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357843,725</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Додаткові технічні заходи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44730,46563</w:t>
            </w:r>
          </w:p>
        </w:tc>
      </w:tr>
      <w:tr w:rsidR="00275E65">
        <w:trPr>
          <w:trHeight w:val="288"/>
        </w:trPr>
        <w:tc>
          <w:tcPr>
            <w:tcW w:w="3540" w:type="dxa"/>
            <w:tcBorders>
              <w:top w:val="none" w:sz="4" w:space="0" w:color="000000"/>
              <w:left w:val="single" w:sz="8" w:space="0" w:color="auto"/>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Непередбачувані витрати</w:t>
            </w:r>
          </w:p>
        </w:tc>
        <w:tc>
          <w:tcPr>
            <w:tcW w:w="16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611" w:type="dxa"/>
            <w:tcBorders>
              <w:top w:val="none" w:sz="4" w:space="0" w:color="000000"/>
              <w:left w:val="none" w:sz="4" w:space="0" w:color="000000"/>
              <w:bottom w:val="single" w:sz="4" w:space="0" w:color="auto"/>
              <w:right w:val="single" w:sz="4" w:space="0" w:color="auto"/>
            </w:tcBorders>
            <w:shd w:val="clear" w:color="auto" w:fill="auto"/>
            <w:noWrap/>
            <w:vAlign w:val="bottom"/>
          </w:tcPr>
          <w:p w:rsidR="00275E65" w:rsidRDefault="00902217">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222" w:type="dxa"/>
            <w:tcBorders>
              <w:top w:val="none" w:sz="4" w:space="0" w:color="000000"/>
              <w:left w:val="none" w:sz="4" w:space="0" w:color="000000"/>
              <w:bottom w:val="single" w:sz="4" w:space="0" w:color="auto"/>
              <w:right w:val="single" w:sz="8" w:space="0" w:color="auto"/>
            </w:tcBorders>
            <w:shd w:val="clear" w:color="auto" w:fill="auto"/>
            <w:noWrap/>
            <w:vAlign w:val="bottom"/>
          </w:tcPr>
          <w:p w:rsidR="00275E65" w:rsidRDefault="00902217">
            <w:pPr>
              <w:spacing w:after="0" w:line="240" w:lineRule="auto"/>
              <w:jc w:val="right"/>
              <w:rPr>
                <w:rFonts w:ascii="Calibri" w:eastAsia="Times New Roman" w:hAnsi="Calibri" w:cs="Calibri"/>
                <w:color w:val="000000"/>
              </w:rPr>
            </w:pPr>
            <w:r>
              <w:rPr>
                <w:rFonts w:ascii="Calibri" w:eastAsia="Times New Roman" w:hAnsi="Calibri" w:cs="Calibri"/>
                <w:color w:val="000000"/>
              </w:rPr>
              <w:t>35784,3725</w:t>
            </w:r>
          </w:p>
        </w:tc>
      </w:tr>
      <w:tr w:rsidR="00275E65">
        <w:trPr>
          <w:trHeight w:val="300"/>
        </w:trPr>
        <w:tc>
          <w:tcPr>
            <w:tcW w:w="3540" w:type="dxa"/>
            <w:tcBorders>
              <w:top w:val="none" w:sz="4" w:space="0" w:color="000000"/>
              <w:left w:val="single" w:sz="8" w:space="0" w:color="auto"/>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ВСЬОГО на термомодернізацію</w:t>
            </w:r>
          </w:p>
        </w:tc>
        <w:tc>
          <w:tcPr>
            <w:tcW w:w="1608"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611" w:type="dxa"/>
            <w:tcBorders>
              <w:top w:val="none" w:sz="4" w:space="0" w:color="000000"/>
              <w:left w:val="none" w:sz="4" w:space="0" w:color="000000"/>
              <w:bottom w:val="single" w:sz="8" w:space="0" w:color="auto"/>
              <w:right w:val="single" w:sz="4" w:space="0" w:color="auto"/>
            </w:tcBorders>
            <w:shd w:val="clear" w:color="000000" w:fill="92D050"/>
            <w:noWrap/>
            <w:vAlign w:val="bottom"/>
          </w:tcPr>
          <w:p w:rsidR="00275E65" w:rsidRDefault="00902217">
            <w:pPr>
              <w:spacing w:after="0" w:line="240" w:lineRule="auto"/>
              <w:rPr>
                <w:rFonts w:ascii="Calibri" w:eastAsia="Times New Roman" w:hAnsi="Calibri" w:cs="Calibri"/>
                <w:b/>
                <w:bCs/>
                <w:color w:val="000000"/>
              </w:rPr>
            </w:pPr>
            <w:r>
              <w:rPr>
                <w:rFonts w:ascii="Calibri" w:eastAsia="Times New Roman" w:hAnsi="Calibri" w:cs="Calibri"/>
                <w:b/>
                <w:bCs/>
                <w:color w:val="000000"/>
              </w:rPr>
              <w:t> </w:t>
            </w:r>
          </w:p>
        </w:tc>
        <w:tc>
          <w:tcPr>
            <w:tcW w:w="2222" w:type="dxa"/>
            <w:tcBorders>
              <w:top w:val="none" w:sz="4" w:space="0" w:color="000000"/>
              <w:left w:val="none" w:sz="4" w:space="0" w:color="000000"/>
              <w:bottom w:val="single" w:sz="8" w:space="0" w:color="auto"/>
              <w:right w:val="single" w:sz="8" w:space="0" w:color="auto"/>
            </w:tcBorders>
            <w:shd w:val="clear" w:color="000000" w:fill="92D050"/>
            <w:noWrap/>
            <w:vAlign w:val="bottom"/>
          </w:tcPr>
          <w:p w:rsidR="00275E65" w:rsidRDefault="00902217">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438358,5631</w:t>
            </w:r>
          </w:p>
        </w:tc>
      </w:tr>
    </w:tbl>
    <w:p w:rsidR="00275E65" w:rsidRDefault="00275E65">
      <w:pPr>
        <w:tabs>
          <w:tab w:val="left" w:pos="709"/>
        </w:tabs>
        <w:spacing w:after="0" w:line="276" w:lineRule="auto"/>
        <w:jc w:val="both"/>
        <w:rPr>
          <w:rFonts w:ascii="Times New Roman" w:hAnsi="Times New Roman" w:cs="Times New Roman"/>
          <w:lang w:val="uk-UA"/>
        </w:rPr>
        <w:sectPr w:rsidR="00275E65">
          <w:footerReference w:type="default" r:id="rId94"/>
          <w:pgSz w:w="12240" w:h="15840"/>
          <w:pgMar w:top="1440" w:right="1440" w:bottom="1440" w:left="1440" w:header="0" w:footer="720" w:gutter="0"/>
          <w:cols w:space="720"/>
          <w:docGrid w:linePitch="360"/>
        </w:sectPr>
      </w:pPr>
    </w:p>
    <w:p w:rsidR="00275E65" w:rsidRDefault="00902217">
      <w:pPr>
        <w:tabs>
          <w:tab w:val="left" w:pos="709"/>
        </w:tabs>
        <w:spacing w:after="0" w:line="276" w:lineRule="auto"/>
        <w:ind w:firstLine="567"/>
        <w:jc w:val="both"/>
        <w:rPr>
          <w:rFonts w:ascii="Times New Roman" w:hAnsi="Times New Roman" w:cs="Times New Roman"/>
          <w:lang w:val="uk-UA"/>
        </w:rPr>
      </w:pPr>
      <w:r>
        <w:rPr>
          <w:rFonts w:ascii="Times New Roman" w:eastAsiaTheme="minorEastAsia" w:hAnsi="Times New Roman" w:cstheme="minorHAnsi"/>
          <w:lang w:val="uk-UA"/>
        </w:rPr>
        <w:t>Таблиця ХХ. Організаційні та технічні заходи в сфері ЕЕ та ВДЕ МЕП Носівської громади</w:t>
      </w:r>
    </w:p>
    <w:tbl>
      <w:tblPr>
        <w:tblW w:w="13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850"/>
        <w:gridCol w:w="1842"/>
        <w:gridCol w:w="1559"/>
        <w:gridCol w:w="1276"/>
        <w:gridCol w:w="1419"/>
        <w:gridCol w:w="1417"/>
        <w:gridCol w:w="1374"/>
        <w:gridCol w:w="1118"/>
      </w:tblGrid>
      <w:tr w:rsidR="00275E65">
        <w:trPr>
          <w:trHeight w:val="1452"/>
          <w:jc w:val="center"/>
        </w:trPr>
        <w:tc>
          <w:tcPr>
            <w:tcW w:w="2972" w:type="dxa"/>
            <w:shd w:val="clear" w:color="auto" w:fill="auto"/>
            <w:vAlign w:val="center"/>
          </w:tcPr>
          <w:p w:rsidR="00275E65" w:rsidRDefault="00902217">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Назва заходу</w:t>
            </w:r>
          </w:p>
        </w:tc>
        <w:tc>
          <w:tcPr>
            <w:tcW w:w="850" w:type="dxa"/>
            <w:shd w:val="clear" w:color="auto" w:fill="auto"/>
            <w:vAlign w:val="center"/>
          </w:tcPr>
          <w:p w:rsidR="00275E65" w:rsidRDefault="00902217">
            <w:pPr>
              <w:spacing w:after="0" w:line="240" w:lineRule="auto"/>
              <w:jc w:val="center"/>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Темін реалізації (вка</w:t>
            </w:r>
            <w:r>
              <w:rPr>
                <w:rFonts w:ascii="Times New Roman" w:eastAsia="Times New Roman" w:hAnsi="Times New Roman" w:cs="Times New Roman"/>
                <w:color w:val="000000"/>
                <w:sz w:val="18"/>
                <w:lang w:val="ru-RU"/>
              </w:rPr>
              <w:t>зується рік завершення)</w:t>
            </w:r>
          </w:p>
        </w:tc>
        <w:tc>
          <w:tcPr>
            <w:tcW w:w="1842" w:type="dxa"/>
            <w:shd w:val="clear" w:color="auto" w:fill="auto"/>
            <w:vAlign w:val="center"/>
          </w:tcPr>
          <w:p w:rsidR="00275E65" w:rsidRDefault="00902217">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Фінансове джерело</w:t>
            </w:r>
          </w:p>
        </w:tc>
        <w:tc>
          <w:tcPr>
            <w:tcW w:w="1559" w:type="dxa"/>
            <w:shd w:val="clear" w:color="auto" w:fill="auto"/>
            <w:vAlign w:val="center"/>
          </w:tcPr>
          <w:p w:rsidR="00275E65" w:rsidRDefault="00902217">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Вартість заходу, грн.</w:t>
            </w:r>
          </w:p>
        </w:tc>
        <w:tc>
          <w:tcPr>
            <w:tcW w:w="1276" w:type="dxa"/>
            <w:shd w:val="clear" w:color="auto" w:fill="auto"/>
            <w:vAlign w:val="center"/>
          </w:tcPr>
          <w:p w:rsidR="00275E65" w:rsidRDefault="00902217">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Вартість заходу,  євро</w:t>
            </w:r>
          </w:p>
        </w:tc>
        <w:tc>
          <w:tcPr>
            <w:tcW w:w="1419" w:type="dxa"/>
            <w:shd w:val="clear" w:color="auto" w:fill="auto"/>
            <w:vAlign w:val="center"/>
          </w:tcPr>
          <w:p w:rsidR="00275E65" w:rsidRDefault="00902217">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Ресурси, що економляться</w:t>
            </w:r>
          </w:p>
        </w:tc>
        <w:tc>
          <w:tcPr>
            <w:tcW w:w="1417" w:type="dxa"/>
            <w:shd w:val="clear" w:color="auto" w:fill="auto"/>
            <w:vAlign w:val="center"/>
          </w:tcPr>
          <w:p w:rsidR="00275E65" w:rsidRDefault="00902217">
            <w:pPr>
              <w:spacing w:after="0" w:line="240" w:lineRule="auto"/>
              <w:jc w:val="center"/>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Зменшення енергоспоживання, МВт*год/рік</w:t>
            </w:r>
          </w:p>
        </w:tc>
        <w:tc>
          <w:tcPr>
            <w:tcW w:w="1374" w:type="dxa"/>
            <w:shd w:val="clear" w:color="auto" w:fill="auto"/>
            <w:vAlign w:val="center"/>
          </w:tcPr>
          <w:p w:rsidR="00275E65" w:rsidRDefault="00902217">
            <w:pPr>
              <w:spacing w:after="0" w:line="240" w:lineRule="auto"/>
              <w:jc w:val="center"/>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Виробництво енергії з ВДЕ, МВт*год/рік</w:t>
            </w:r>
          </w:p>
        </w:tc>
        <w:tc>
          <w:tcPr>
            <w:tcW w:w="1118" w:type="dxa"/>
            <w:shd w:val="clear" w:color="auto" w:fill="auto"/>
            <w:vAlign w:val="center"/>
          </w:tcPr>
          <w:p w:rsidR="00275E65" w:rsidRDefault="00902217">
            <w:pPr>
              <w:spacing w:after="0" w:line="240" w:lineRule="auto"/>
              <w:jc w:val="center"/>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Зменшення викидів СО2, т/рік</w:t>
            </w:r>
          </w:p>
        </w:tc>
      </w:tr>
      <w:tr w:rsidR="00275E65">
        <w:trPr>
          <w:trHeight w:val="288"/>
          <w:jc w:val="center"/>
        </w:trPr>
        <w:tc>
          <w:tcPr>
            <w:tcW w:w="13827" w:type="dxa"/>
            <w:gridSpan w:val="9"/>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Громадські будівлі</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Термомодернізації Володьководівицького ліцею - корпус №1</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19 367 969,38</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484 199,23</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дрова</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1 016,93</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Термомодернізації Носівської Гімназії № 2</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w:t>
            </w:r>
            <w:r>
              <w:rPr>
                <w:rFonts w:ascii="Times New Roman" w:eastAsia="Times New Roman" w:hAnsi="Times New Roman" w:cs="Times New Roman"/>
                <w:color w:val="000000"/>
                <w:sz w:val="18"/>
                <w:lang w:val="ru-RU"/>
              </w:rPr>
              <w:t>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12 947 861,15</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323 696,53</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природний газ</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129,08</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26,07</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Термомодернізації Носівської Гімназії № 3</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2027</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26 441 988,34</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661 049,71</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природний газ</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351,10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70,92</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Термомодернізації ДНЗ Барвінок</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2028</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17 274 937,75</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431 873,44</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дрова</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1 215,10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Термомодернізації Носівський ліцей № 1</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2028</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47 715 936,63</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1 192 898,42</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дрова</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786,68</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Термомодернізації ЦДЮТ</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2029</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6 566 680,12</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164 167,00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дрова</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35,24</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Термомодернізації Пологового будинку</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2029</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w:t>
            </w:r>
            <w:r>
              <w:rPr>
                <w:rFonts w:ascii="Times New Roman" w:eastAsia="Times New Roman" w:hAnsi="Times New Roman" w:cs="Times New Roman"/>
                <w:color w:val="000000"/>
                <w:sz w:val="18"/>
                <w:lang w:val="ru-RU"/>
              </w:rPr>
              <w:t>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10 841 341,88</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271 033,55</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теплова 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295,57</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79,21</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Термомодернізації Стаціонарного відділення лікарні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2025</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21 245 126,00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531 128,15</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теплова 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580,81</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155,66</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Термомодернізації Поліклініки</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17 534 342,53</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438 358,56</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теплова 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699,26</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187,40</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Реконструкція приміщення Сулацької гімназії Носівської міської ради для облаштування харчоблоку за адресою: вул. Миколаївська, 71 с. Сулак Чернігівської області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7 200 000,00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180 000,00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природний газ</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156,12</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31,54</w:t>
            </w:r>
          </w:p>
        </w:tc>
      </w:tr>
      <w:tr w:rsidR="00275E65">
        <w:trPr>
          <w:trHeight w:val="1152"/>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Капітальний ремонт комплексу будівелі КПНЗ "ДЮСШ" Носівської міської ради у м. Носівка із застосуванням заходів теплореновації (заміна вікон та дверей, утеплення фасаду, заміна даху)</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2027</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w:t>
            </w:r>
            <w:r>
              <w:rPr>
                <w:rFonts w:ascii="Times New Roman" w:eastAsia="Times New Roman" w:hAnsi="Times New Roman" w:cs="Times New Roman"/>
                <w:color w:val="000000"/>
                <w:sz w:val="18"/>
                <w:lang w:val="ru-RU"/>
              </w:rPr>
              <w:t>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17 000,00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425,00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дрова</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26,80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Капітальний ремонт даху Публічної бібліотеки Носівської міської ради</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2028</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2 390 000,00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59 750,00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природний газ</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32,50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6,57</w:t>
            </w:r>
          </w:p>
        </w:tc>
      </w:tr>
      <w:tr w:rsidR="00275E65">
        <w:trPr>
          <w:trHeight w:val="1152"/>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lang w:val="ru-RU"/>
              </w:rPr>
              <w:t xml:space="preserve">Капітальний ремонт Володьководівицького будинку культури Носівської міської ради, розташованого за адресою </w:t>
            </w:r>
            <w:r>
              <w:rPr>
                <w:rFonts w:ascii="Times New Roman" w:eastAsia="Times New Roman" w:hAnsi="Times New Roman" w:cs="Times New Roman"/>
                <w:color w:val="000000"/>
                <w:sz w:val="18"/>
              </w:rPr>
              <w:t>Чернігівська область с.Володькова Дівиця, вул.Центральна,75 (коригування2)</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2027</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5 760 000,00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144 000,00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дрова</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12,30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lang w:val="ru-RU"/>
              </w:rPr>
              <w:t xml:space="preserve">Реконструкція  даху прибудови до адмінбудівлі  Носівської міської ради по вул. </w:t>
            </w:r>
            <w:r>
              <w:rPr>
                <w:rFonts w:ascii="Times New Roman" w:eastAsia="Times New Roman" w:hAnsi="Times New Roman" w:cs="Times New Roman"/>
                <w:color w:val="000000"/>
                <w:sz w:val="18"/>
              </w:rPr>
              <w:t>Центральна, 20 в м. Носівка, Ніжинського району, Чернігівської області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2025</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w:t>
            </w:r>
            <w:r>
              <w:rPr>
                <w:rFonts w:ascii="Times New Roman" w:eastAsia="Times New Roman" w:hAnsi="Times New Roman" w:cs="Times New Roman"/>
                <w:color w:val="000000"/>
                <w:sz w:val="18"/>
                <w:lang w:val="ru-RU"/>
              </w:rPr>
              <w:t>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3 200 000,00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80 000,00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дрова</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320,20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288"/>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Впровадження системи обліку енергоспоживання</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780 000,00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19 500,00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2,80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3,04</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Заміна електрообладнання у нав</w:t>
            </w:r>
            <w:r>
              <w:rPr>
                <w:rFonts w:ascii="Times New Roman" w:eastAsia="Times New Roman" w:hAnsi="Times New Roman" w:cs="Times New Roman"/>
                <w:color w:val="000000"/>
                <w:sz w:val="18"/>
                <w:lang w:val="ru-RU"/>
              </w:rPr>
              <w:t>чальних закладах за більшим класом енергоефективності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3 000 000,00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75 000,00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14,20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15,40</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Промивка та балансування системи опалення у громадських будівлях</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7 800 000,00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195 000,00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дрова</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321,20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288"/>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Утеплення трубопроводів</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3 500 000,00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87 500,00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дрова</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114,78</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Впровадження системи енергоменеджменту в бюджетному секторі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Місцевий бюджет</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250 000,00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6 250,00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не можливо визначити</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288"/>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Вставнолення теплового насосу Досліднянської гімназії</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2027</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1 820 000,00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45 500,00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природний газ</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537,37</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108,55</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Впровадження системи використання сонячної енергії для підігріву води у Носівському ДНЗ «Ромашка»</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2024</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650 000,00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16 250,00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0,28</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0,30</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Впровадження системи використання сонячної енергії для підігріву води у Володьководівицькому ДНЗ «Дзвіночок»</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2024</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12 500,00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0,22</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0,24</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Впровадження системи використання сонячної енергії для підігріву води у Носівському ДНЗ №1 «Барвінок»</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2024</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650 000,00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16 250,00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0,28</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0,30</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Встановлення мережевої сонячної електростанції на даху/земельній ділянці комплексу лікарні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2024</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Власні кошти підприємства/Грантові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4 000 000,00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100 000,00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108,45</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Встановлення мережевої сонячної електростанції на даху/земельній ділянці Носівського ДНЗ №1 "Барвінок"</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2025</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Власні кошти підприємства/Кредитні кошти/Грантові кошти/Еско контракти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10,85</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lang w:val="ru-RU"/>
              </w:rPr>
              <w:t xml:space="preserve">Встановлення мережевої сонячної електростанції на даху/земельній ділянці Носівського ліцею </w:t>
            </w:r>
            <w:r>
              <w:rPr>
                <w:rFonts w:ascii="Times New Roman" w:eastAsia="Times New Roman" w:hAnsi="Times New Roman" w:cs="Times New Roman"/>
                <w:color w:val="000000"/>
                <w:sz w:val="18"/>
              </w:rPr>
              <w:t>№5</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2025</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Власні кошти підприємства/Грантові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10,85</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Встановлення мережевої сонячної електростанції на даху/земельній ділянці Володьководівицької сільської лікарської амбулаторії</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Власні кошти підприємства/Грантові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10,85</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Встановлення мережевої сонячної електростанції на даху/земельній ділянці Козарського фельдшерського пункту</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Власні кошти підприємства/Грантові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10,85</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Встановлення мережевої сонячної електростанції на даху/земельній ділянці Адамівського фельдшерського пункту</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2027</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Власні кошти підприємства/Грантові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10,85</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Встановлення мережевої сонячної електростанції на даху/земельній ділянці Держанівського фельдшерського пункту</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2027</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Власні кошти підприємства/Грантові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10,85</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Встановлення мережевої сонячної електростанції на даху/земельній ділянці Досліднянського фельдшерського пункту</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2028</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Власні кошти підприємства/Грантові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10,85</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Встановлення мережевої сонячної електростанції на даху/земельній ділянці Сулацького фельдшерського пункту</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2028</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Власні кошти підприємства/Грантові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10,85</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Встановлення мережевої сонячної електростанції на даху/земельній ділянці Яблунівського фельдшерського пункту</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2028</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Власні кошти підприємства/Грантові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10,85</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Комплексний план просторового розвитку території Носівської громади</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2025</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1 200 000,00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не визначено</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288"/>
          <w:jc w:val="center"/>
        </w:trPr>
        <w:tc>
          <w:tcPr>
            <w:tcW w:w="2972"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Всього громадські будівлі</w:t>
            </w:r>
          </w:p>
        </w:tc>
        <w:tc>
          <w:tcPr>
            <w:tcW w:w="850"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842"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559"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225 353 183,77</w:t>
            </w:r>
          </w:p>
        </w:tc>
        <w:tc>
          <w:tcPr>
            <w:tcW w:w="1276"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5 633 829,59</w:t>
            </w:r>
          </w:p>
        </w:tc>
        <w:tc>
          <w:tcPr>
            <w:tcW w:w="1419"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417"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6 648,83</w:t>
            </w:r>
          </w:p>
        </w:tc>
        <w:tc>
          <w:tcPr>
            <w:tcW w:w="1374"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190,00</w:t>
            </w:r>
          </w:p>
        </w:tc>
        <w:tc>
          <w:tcPr>
            <w:tcW w:w="1118"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891,26</w:t>
            </w:r>
          </w:p>
        </w:tc>
      </w:tr>
      <w:tr w:rsidR="00275E65">
        <w:trPr>
          <w:trHeight w:val="288"/>
          <w:jc w:val="center"/>
        </w:trPr>
        <w:tc>
          <w:tcPr>
            <w:tcW w:w="13827" w:type="dxa"/>
            <w:gridSpan w:val="9"/>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Житлові будівлі</w:t>
            </w:r>
          </w:p>
        </w:tc>
      </w:tr>
      <w:tr w:rsidR="00275E65">
        <w:trPr>
          <w:trHeight w:val="1728"/>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Програма стимулювання термомодернізації одноквартирних житлових будинків (1 рік- 20/80; 2 рік - 10/90; 3-6 рік - револьверний фонд; (6% від споживання природного газу; 355 будинків))</w:t>
            </w:r>
            <w:r>
              <w:rPr>
                <w:rFonts w:ascii="Times New Roman" w:eastAsia="Times New Roman" w:hAnsi="Times New Roman" w:cs="Times New Roman"/>
                <w:color w:val="000000"/>
                <w:sz w:val="18"/>
              </w:rPr>
              <w:br/>
              <w:t>1 рік - 200 000 грн.; 2 рік - 500 000 грн.; 3-5 рік  - 2 000 000 грн.</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w:t>
            </w:r>
            <w:r>
              <w:rPr>
                <w:rFonts w:ascii="Times New Roman" w:eastAsia="Times New Roman" w:hAnsi="Times New Roman" w:cs="Times New Roman"/>
                <w:color w:val="000000"/>
                <w:sz w:val="18"/>
              </w:rPr>
              <w:t>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громади/приватні інвестиції</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16 000 000,00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400 000,00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природний газ</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6 397,20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1 292,23</w:t>
            </w:r>
          </w:p>
        </w:tc>
      </w:tr>
      <w:tr w:rsidR="00275E65">
        <w:trPr>
          <w:trHeight w:val="1440"/>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Програма підтримки встановлення сонячних електростанцій в одноквартирних житлових будинках (1 рік- 30/70; 2 рік - 20/80; 3-5 рік - 10/90)</w:t>
            </w:r>
            <w:r>
              <w:rPr>
                <w:rFonts w:ascii="Times New Roman" w:eastAsia="Times New Roman" w:hAnsi="Times New Roman" w:cs="Times New Roman"/>
                <w:color w:val="000000"/>
                <w:sz w:val="18"/>
                <w:lang w:val="ru-RU"/>
              </w:rPr>
              <w:br/>
            </w:r>
            <w:r>
              <w:rPr>
                <w:rFonts w:ascii="Times New Roman" w:eastAsia="Times New Roman" w:hAnsi="Times New Roman" w:cs="Times New Roman"/>
                <w:color w:val="000000"/>
                <w:sz w:val="18"/>
                <w:lang w:val="ru-RU"/>
              </w:rPr>
              <w:t>1 рік - 400 000 грн.; 2 рік - 500 000 грн.; 3-5 рік  - 500 000 грн.</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2028</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громади/приватні інвестиції</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8 850 000,00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221 250,00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2 200,00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2 385,90</w:t>
            </w:r>
          </w:p>
        </w:tc>
      </w:tr>
      <w:tr w:rsidR="00275E65">
        <w:trPr>
          <w:trHeight w:val="588"/>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Проведення інформаційної кам</w:t>
            </w:r>
            <w:r>
              <w:rPr>
                <w:rFonts w:ascii="Times New Roman" w:eastAsia="Times New Roman" w:hAnsi="Times New Roman" w:cs="Times New Roman"/>
                <w:color w:val="000000"/>
                <w:sz w:val="18"/>
                <w:lang w:val="ru-RU"/>
              </w:rPr>
              <w:t>панії щодо способів, методів та форм економії енергії у побуті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350 000,00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8 750,00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не можливо визначити</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8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Програма стимулювання термомодернізації багатоквартирних житлових будинків</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громади/Приватні інвестиції/Кредитні кошти/Грнатові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39 297 000,00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982 425,00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природний газ</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634,00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128,07</w:t>
            </w:r>
          </w:p>
        </w:tc>
      </w:tr>
      <w:tr w:rsidR="00275E65">
        <w:trPr>
          <w:trHeight w:val="1152"/>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Програма підтримки переходу одноквартирних житлових будинків на використання відновлювальних джерел енергії для опа</w:t>
            </w:r>
            <w:r>
              <w:rPr>
                <w:rFonts w:ascii="Times New Roman" w:eastAsia="Times New Roman" w:hAnsi="Times New Roman" w:cs="Times New Roman"/>
                <w:color w:val="000000"/>
                <w:sz w:val="18"/>
                <w:lang w:val="ru-RU"/>
              </w:rPr>
              <w:t>ленння (5% від споживання природного газу; 300 будинків)</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2029</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громади/Приватні інвестиції/Кредитні кошти/Грнатові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18 000 000,00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450 000,00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природний газ</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5 331,00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1 076,86</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Офіс підтримки реплізації заходів у сфері ЕЕ та ВДЕ</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12 500,00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не можливо визначити</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r>
      <w:tr w:rsidR="00275E65">
        <w:trPr>
          <w:trHeight w:val="288"/>
          <w:jc w:val="center"/>
        </w:trPr>
        <w:tc>
          <w:tcPr>
            <w:tcW w:w="2972"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Всього житлові будівлі</w:t>
            </w:r>
          </w:p>
        </w:tc>
        <w:tc>
          <w:tcPr>
            <w:tcW w:w="850"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842"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559"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58 147 000,00</w:t>
            </w:r>
          </w:p>
        </w:tc>
        <w:tc>
          <w:tcPr>
            <w:tcW w:w="1276"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1 453 675,00</w:t>
            </w:r>
          </w:p>
        </w:tc>
        <w:tc>
          <w:tcPr>
            <w:tcW w:w="1419"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417"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634,00</w:t>
            </w:r>
          </w:p>
        </w:tc>
        <w:tc>
          <w:tcPr>
            <w:tcW w:w="1374"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5 331,00</w:t>
            </w:r>
          </w:p>
        </w:tc>
        <w:tc>
          <w:tcPr>
            <w:tcW w:w="1118"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1 204,93</w:t>
            </w:r>
          </w:p>
        </w:tc>
      </w:tr>
      <w:tr w:rsidR="00275E65">
        <w:trPr>
          <w:trHeight w:val="288"/>
          <w:jc w:val="center"/>
        </w:trPr>
        <w:tc>
          <w:tcPr>
            <w:tcW w:w="13827" w:type="dxa"/>
            <w:gridSpan w:val="9"/>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Сектор теплопостачання</w:t>
            </w:r>
          </w:p>
        </w:tc>
      </w:tr>
      <w:tr w:rsidR="00275E65">
        <w:trPr>
          <w:trHeight w:val="213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Створення плантації з вирощування енергетичних культ</w:t>
            </w:r>
            <w:r>
              <w:rPr>
                <w:rFonts w:ascii="Times New Roman" w:eastAsia="Times New Roman" w:hAnsi="Times New Roman" w:cs="Times New Roman"/>
                <w:color w:val="000000"/>
                <w:sz w:val="18"/>
              </w:rPr>
              <w:t>ур для отримання біомаси сталого походження з поальшим використанням для опалення комунальних закладів та приватних житлових будинків (включає посадку матеріалу, закупівлю необхдіної техніки та обладання, теритопрій та приміщень для зберіганння, логістику)</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громади/Приватні інвестиції/Кредитні кошти/Грнатові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30 000 000,00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750 000,00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природний газ</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13 250,00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2 676,50</w:t>
            </w:r>
          </w:p>
        </w:tc>
      </w:tr>
      <w:tr w:rsidR="00275E65">
        <w:trPr>
          <w:trHeight w:val="213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lang w:val="uk-UA"/>
              </w:rPr>
              <w:t xml:space="preserve">Заміна зношених ділянок трубопроводів на попередньоізольовані трубопроводи (вул. Центральна, 25, </w:t>
            </w:r>
            <w:r>
              <w:rPr>
                <w:rFonts w:ascii="Times New Roman" w:eastAsia="Times New Roman" w:hAnsi="Times New Roman" w:cs="Times New Roman"/>
                <w:color w:val="000000"/>
                <w:sz w:val="18"/>
                <w:lang w:val="uk-UA"/>
              </w:rPr>
              <w:t>вул. Привітна, 1,</w:t>
            </w:r>
            <w:r>
              <w:rPr>
                <w:lang w:val="ru-RU"/>
              </w:rPr>
              <w:t xml:space="preserve"> </w:t>
            </w:r>
            <w:r>
              <w:rPr>
                <w:rFonts w:ascii="Times New Roman" w:eastAsia="Times New Roman" w:hAnsi="Times New Roman" w:cs="Times New Roman"/>
                <w:color w:val="000000"/>
                <w:sz w:val="18"/>
                <w:lang w:val="uk-UA"/>
              </w:rPr>
              <w:t xml:space="preserve">вул. Центральна, 19, вул. Центральна, 8 в м. Носівка та вул. Центральна, 19, с.Володькова Дівиця), Ду=76-150 мм, </w:t>
            </w:r>
            <w:r>
              <w:rPr>
                <w:rFonts w:ascii="Times New Roman" w:eastAsia="Times New Roman" w:hAnsi="Times New Roman" w:cs="Times New Roman"/>
                <w:color w:val="000000"/>
                <w:sz w:val="18"/>
              </w:rPr>
              <w:t>L=</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2024</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3 000 000,00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75 000,00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природний газ</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298,52</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60,29</w:t>
            </w:r>
          </w:p>
        </w:tc>
      </w:tr>
      <w:tr w:rsidR="00275E65">
        <w:trPr>
          <w:trHeight w:val="288"/>
          <w:jc w:val="center"/>
        </w:trPr>
        <w:tc>
          <w:tcPr>
            <w:tcW w:w="2972"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Всього Сектор теплопостачання</w:t>
            </w:r>
          </w:p>
        </w:tc>
        <w:tc>
          <w:tcPr>
            <w:tcW w:w="850"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842"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559"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33 000 000,00</w:t>
            </w:r>
          </w:p>
        </w:tc>
        <w:tc>
          <w:tcPr>
            <w:tcW w:w="1276"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825 000,00</w:t>
            </w:r>
          </w:p>
        </w:tc>
        <w:tc>
          <w:tcPr>
            <w:tcW w:w="1419"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417"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298,52</w:t>
            </w:r>
          </w:p>
        </w:tc>
        <w:tc>
          <w:tcPr>
            <w:tcW w:w="1374"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13 250,00</w:t>
            </w:r>
          </w:p>
        </w:tc>
        <w:tc>
          <w:tcPr>
            <w:tcW w:w="1118"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2 736,79</w:t>
            </w:r>
          </w:p>
        </w:tc>
      </w:tr>
      <w:tr w:rsidR="00275E65">
        <w:trPr>
          <w:trHeight w:val="360"/>
          <w:jc w:val="center"/>
        </w:trPr>
        <w:tc>
          <w:tcPr>
            <w:tcW w:w="13827" w:type="dxa"/>
            <w:gridSpan w:val="9"/>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Сектор водопостачання і водовідведення</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Встановлення мережевої сонячної електростанції на земельній ділянці свердловини №2212 вул.Комунальна,34 м.Носівка</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2024</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2 000 000,00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50 000,00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54,23</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Встановлення мережевої сонячної електростанції на земельній ділянці свердловини №2003/43 вул.Автоколонна,15 м.Носівка</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2025</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1 360 000,00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34 000,00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34,00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36,87</w:t>
            </w:r>
          </w:p>
        </w:tc>
      </w:tr>
      <w:tr w:rsidR="00275E65">
        <w:trPr>
          <w:trHeight w:val="1068"/>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Встановлення мережевої сонячної електростанції на земельній ділянці свердловини №2003/46 вул.Вокзальна, 123а м. Носівка</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1 080 000,00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27 000,00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27,00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29,28</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Встановлення мережевої сонячної електростанції на земельній ділянці свердловини №2003/11 вул.Попудренка,17 м.Носівка</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1 240 000,00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31 000,00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31,00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33,62</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lang w:val="ru-RU"/>
              </w:rPr>
              <w:t xml:space="preserve">Встановлення мережевої сонячної електростанції на земельній ділянці свердловини №1,2 вул. </w:t>
            </w:r>
            <w:r>
              <w:rPr>
                <w:rFonts w:ascii="Times New Roman" w:eastAsia="Times New Roman" w:hAnsi="Times New Roman" w:cs="Times New Roman"/>
                <w:color w:val="000000"/>
                <w:sz w:val="18"/>
              </w:rPr>
              <w:t>Миру,1 с. Дослідне</w:t>
            </w:r>
          </w:p>
        </w:tc>
        <w:tc>
          <w:tcPr>
            <w:tcW w:w="850"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280 000,00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7,59</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Облаштування насосних станцій обладнанням з частотного регулю</w:t>
            </w:r>
            <w:r>
              <w:rPr>
                <w:rFonts w:ascii="Times New Roman" w:eastAsia="Times New Roman" w:hAnsi="Times New Roman" w:cs="Times New Roman"/>
                <w:color w:val="000000"/>
                <w:sz w:val="18"/>
                <w:lang w:val="ru-RU"/>
              </w:rPr>
              <w:t>вання за тиском в системі подачі холодної води</w:t>
            </w:r>
          </w:p>
        </w:tc>
        <w:tc>
          <w:tcPr>
            <w:tcW w:w="850"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Власні кошти підприємства</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1 200 000,00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10,50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11,39</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lang w:val="ru-RU"/>
              </w:rPr>
              <w:t xml:space="preserve">Реконструкція водопровідних мереж с. Дослідне протяжністю </w:t>
            </w:r>
            <w:r>
              <w:rPr>
                <w:rFonts w:ascii="Times New Roman" w:eastAsia="Times New Roman" w:hAnsi="Times New Roman" w:cs="Times New Roman"/>
                <w:color w:val="000000"/>
                <w:sz w:val="18"/>
              </w:rPr>
              <w:t>4,5 км.</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2030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Державні кошти/Кошти гро</w:t>
            </w:r>
            <w:r>
              <w:rPr>
                <w:rFonts w:ascii="Times New Roman" w:eastAsia="Times New Roman" w:hAnsi="Times New Roman" w:cs="Times New Roman"/>
                <w:color w:val="000000"/>
                <w:sz w:val="18"/>
                <w:lang w:val="ru-RU"/>
              </w:rPr>
              <w:t>мади/Кредитні кошти/Грантові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1 469 000,00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36 725,00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10,10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10,95</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Придбання універсального  пошукового обладнання для пошуку не врахованих  витоків води та самовільного підключення</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1 850 000,00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46 250,00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8,50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9,22</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Придбання засобів комерційного обліку з централізованого водопостачання</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2028</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2 650 000,00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66 250,00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1,20</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1,30</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Реконструкція водопровідної мережі по вулиці Робоча, Сагайдач</w:t>
            </w:r>
            <w:r>
              <w:rPr>
                <w:rFonts w:ascii="Times New Roman" w:eastAsia="Times New Roman" w:hAnsi="Times New Roman" w:cs="Times New Roman"/>
                <w:color w:val="000000"/>
                <w:sz w:val="18"/>
                <w:lang w:val="ru-RU"/>
              </w:rPr>
              <w:t>ного Короленка міста Носівка Чернігівської області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2024</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684 971,00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17 124,28</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0,51</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0,55</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Реконструкція водопровідної мережі по вулиці Затишна від вулиці Комунальна до вулиці Героїв України міста Носівка Чернігівської області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Кошти громади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2 561 890,00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64 047,25</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0,51</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0,55</w:t>
            </w:r>
          </w:p>
        </w:tc>
      </w:tr>
      <w:tr w:rsidR="00275E65">
        <w:trPr>
          <w:trHeight w:val="288"/>
          <w:jc w:val="center"/>
        </w:trPr>
        <w:tc>
          <w:tcPr>
            <w:tcW w:w="2972"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Всього водопостачання і водовідведення</w:t>
            </w:r>
          </w:p>
        </w:tc>
        <w:tc>
          <w:tcPr>
            <w:tcW w:w="850"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842"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559"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14 375 861,00</w:t>
            </w:r>
          </w:p>
        </w:tc>
        <w:tc>
          <w:tcPr>
            <w:tcW w:w="1276"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359 396,53</w:t>
            </w:r>
          </w:p>
        </w:tc>
        <w:tc>
          <w:tcPr>
            <w:tcW w:w="1419"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417"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31,32</w:t>
            </w:r>
          </w:p>
        </w:tc>
        <w:tc>
          <w:tcPr>
            <w:tcW w:w="1374"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99,00</w:t>
            </w:r>
          </w:p>
        </w:tc>
        <w:tc>
          <w:tcPr>
            <w:tcW w:w="1118"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141,33</w:t>
            </w:r>
          </w:p>
        </w:tc>
      </w:tr>
      <w:tr w:rsidR="00275E65">
        <w:trPr>
          <w:trHeight w:val="288"/>
          <w:jc w:val="center"/>
        </w:trPr>
        <w:tc>
          <w:tcPr>
            <w:tcW w:w="13827" w:type="dxa"/>
            <w:gridSpan w:val="9"/>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Сектор управління побутовими відходами</w:t>
            </w:r>
          </w:p>
        </w:tc>
      </w:tr>
      <w:tr w:rsidR="00275E65">
        <w:trPr>
          <w:trHeight w:val="288"/>
          <w:jc w:val="center"/>
        </w:trPr>
        <w:tc>
          <w:tcPr>
            <w:tcW w:w="2972" w:type="dxa"/>
            <w:shd w:val="clear" w:color="auto" w:fill="auto"/>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850"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842" w:type="dxa"/>
            <w:shd w:val="clear" w:color="auto" w:fill="auto"/>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559"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276"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419"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417"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374"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118"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r>
      <w:tr w:rsidR="00275E65">
        <w:trPr>
          <w:trHeight w:val="288"/>
          <w:jc w:val="center"/>
        </w:trPr>
        <w:tc>
          <w:tcPr>
            <w:tcW w:w="2972"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Всього управління побутовими відходами</w:t>
            </w:r>
          </w:p>
        </w:tc>
        <w:tc>
          <w:tcPr>
            <w:tcW w:w="850"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842"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559"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w:t>
            </w:r>
          </w:p>
        </w:tc>
        <w:tc>
          <w:tcPr>
            <w:tcW w:w="1276"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w:t>
            </w:r>
          </w:p>
        </w:tc>
        <w:tc>
          <w:tcPr>
            <w:tcW w:w="1419"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417"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w:t>
            </w:r>
          </w:p>
        </w:tc>
        <w:tc>
          <w:tcPr>
            <w:tcW w:w="1374"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w:t>
            </w:r>
          </w:p>
        </w:tc>
        <w:tc>
          <w:tcPr>
            <w:tcW w:w="1118"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w:t>
            </w:r>
          </w:p>
        </w:tc>
      </w:tr>
      <w:tr w:rsidR="00275E65">
        <w:trPr>
          <w:trHeight w:val="288"/>
          <w:jc w:val="center"/>
        </w:trPr>
        <w:tc>
          <w:tcPr>
            <w:tcW w:w="13827" w:type="dxa"/>
            <w:gridSpan w:val="9"/>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Зовнішнє освітлення</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Будівництво мереж зовнішнього освітлення частини вул.Світанкова,пров.Світанковий,вул.Чернігівська від КТП-144 м.Носівка, Чернігівської області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2020</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525 000,00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13 125,00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2,63</w:t>
            </w:r>
          </w:p>
        </w:tc>
        <w:tc>
          <w:tcPr>
            <w:tcW w:w="1374"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2,85</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lang w:val="ru-RU"/>
              </w:rPr>
              <w:t xml:space="preserve">Реконструкція в рамках відновлення системи вуличного освітлення частини вул. </w:t>
            </w:r>
            <w:r>
              <w:rPr>
                <w:rFonts w:ascii="Times New Roman" w:eastAsia="Times New Roman" w:hAnsi="Times New Roman" w:cs="Times New Roman"/>
                <w:color w:val="000000"/>
                <w:sz w:val="18"/>
              </w:rPr>
              <w:t>Садова, Молодіжна,  від  ЗТП-397 в м Носівка Чернігівської області.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2025</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588 000,00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15 076,92</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3,94</w:t>
            </w:r>
          </w:p>
        </w:tc>
        <w:tc>
          <w:tcPr>
            <w:tcW w:w="1374"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4,28</w:t>
            </w:r>
          </w:p>
        </w:tc>
      </w:tr>
      <w:tr w:rsidR="00275E65">
        <w:trPr>
          <w:trHeight w:val="1152"/>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lang w:val="ru-RU"/>
              </w:rPr>
              <w:t xml:space="preserve">Реконструкція в рамках відновлення системи вуличного освітлення частини вул. Корольова, Перемоги, Суворова, Жданова від КТП-71  в с. Криниця, Носівського району. </w:t>
            </w:r>
            <w:r>
              <w:rPr>
                <w:rFonts w:ascii="Times New Roman" w:eastAsia="Times New Roman" w:hAnsi="Times New Roman" w:cs="Times New Roman"/>
                <w:color w:val="000000"/>
                <w:sz w:val="18"/>
              </w:rPr>
              <w:t>Чернігівської області.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2025</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867 000,00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22 230,77</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3,07</w:t>
            </w:r>
          </w:p>
        </w:tc>
        <w:tc>
          <w:tcPr>
            <w:tcW w:w="1374"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3,33</w:t>
            </w:r>
          </w:p>
        </w:tc>
      </w:tr>
      <w:tr w:rsidR="00275E65">
        <w:trPr>
          <w:trHeight w:val="1152"/>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Реконструкція в рамках відновлення системи вуличного освітлення частини вул. Єдності, 20 років Незалежності, Маяковського, Лісова від КТП-329 в с.Лісові Хутори, Носівського району, чернігівської області.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2024</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1 111 500,00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28 500,00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2,19</w:t>
            </w:r>
          </w:p>
        </w:tc>
        <w:tc>
          <w:tcPr>
            <w:tcW w:w="1374"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2,38</w:t>
            </w:r>
          </w:p>
        </w:tc>
      </w:tr>
      <w:tr w:rsidR="00275E65">
        <w:trPr>
          <w:trHeight w:val="1152"/>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Реконструкція в рамках відновлення системи вуличного освітлення частини вул. Кобизька, Рильського, Бригадна, Гончарова, від КТП-85 в с.Підгайне, Носівського району, чернігівської області.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2024</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711 000,00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18 230,77</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3,94</w:t>
            </w:r>
          </w:p>
        </w:tc>
        <w:tc>
          <w:tcPr>
            <w:tcW w:w="1374"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4,28</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lang w:val="ru-RU"/>
              </w:rPr>
              <w:t xml:space="preserve">Реконструкція в рамках відновлення системи вуличного освітлення частини вул. </w:t>
            </w:r>
            <w:r>
              <w:rPr>
                <w:rFonts w:ascii="Times New Roman" w:eastAsia="Times New Roman" w:hAnsi="Times New Roman" w:cs="Times New Roman"/>
                <w:color w:val="000000"/>
                <w:sz w:val="18"/>
              </w:rPr>
              <w:t>Привітна, від КТП-161 в м. Носівка Чернігівської області.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2024</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357 000,00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9 153,85</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1,75</w:t>
            </w:r>
          </w:p>
        </w:tc>
        <w:tc>
          <w:tcPr>
            <w:tcW w:w="1374"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1,90</w:t>
            </w:r>
          </w:p>
        </w:tc>
      </w:tr>
      <w:tr w:rsidR="00275E65">
        <w:trPr>
          <w:trHeight w:val="864"/>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lang w:val="ru-RU"/>
              </w:rPr>
              <w:t xml:space="preserve">Реконструкція в рамках відновлення системи вуличного освітлення частини вул. </w:t>
            </w:r>
            <w:r>
              <w:rPr>
                <w:rFonts w:ascii="Times New Roman" w:eastAsia="Times New Roman" w:hAnsi="Times New Roman" w:cs="Times New Roman"/>
                <w:color w:val="000000"/>
                <w:sz w:val="18"/>
              </w:rPr>
              <w:t>Коцюбинського, Привітна, від КТП-406 в м. Носівка Чернігівської області.</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2026</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15 384,62</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3,50</w:t>
            </w:r>
          </w:p>
        </w:tc>
        <w:tc>
          <w:tcPr>
            <w:tcW w:w="1374"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3,80</w:t>
            </w:r>
          </w:p>
        </w:tc>
      </w:tr>
      <w:tr w:rsidR="00275E65">
        <w:trPr>
          <w:trHeight w:val="288"/>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Заміна світильників на LED</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2027</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2 500 000,00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62 500,00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7,28</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7,90</w:t>
            </w:r>
          </w:p>
        </w:tc>
      </w:tr>
      <w:tr w:rsidR="00275E65">
        <w:trPr>
          <w:trHeight w:val="576"/>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lang w:val="ru-RU"/>
              </w:rPr>
            </w:pPr>
            <w:r>
              <w:rPr>
                <w:rFonts w:ascii="Times New Roman" w:eastAsia="Times New Roman" w:hAnsi="Times New Roman" w:cs="Times New Roman"/>
                <w:color w:val="000000"/>
                <w:sz w:val="18"/>
                <w:lang w:val="ru-RU"/>
              </w:rPr>
              <w:t>Вставновлення датчиків руху з функцієї розумного почергового включення світлоточок</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2027</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1 240 000,00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31 000,00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3,24</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3,51</w:t>
            </w:r>
          </w:p>
        </w:tc>
      </w:tr>
      <w:tr w:rsidR="00275E65">
        <w:trPr>
          <w:trHeight w:val="288"/>
          <w:jc w:val="center"/>
        </w:trPr>
        <w:tc>
          <w:tcPr>
            <w:tcW w:w="297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Встановлення приладів димеювання</w:t>
            </w:r>
          </w:p>
        </w:tc>
        <w:tc>
          <w:tcPr>
            <w:tcW w:w="850"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2027</w:t>
            </w:r>
          </w:p>
        </w:tc>
        <w:tc>
          <w:tcPr>
            <w:tcW w:w="1842"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Еско-контракт/Власні кошти</w:t>
            </w:r>
          </w:p>
        </w:tc>
        <w:tc>
          <w:tcPr>
            <w:tcW w:w="155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2 100 000,00</w:t>
            </w:r>
          </w:p>
        </w:tc>
        <w:tc>
          <w:tcPr>
            <w:tcW w:w="1276"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52 500,00</w:t>
            </w:r>
          </w:p>
        </w:tc>
        <w:tc>
          <w:tcPr>
            <w:tcW w:w="1419"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електроенергія</w:t>
            </w:r>
          </w:p>
        </w:tc>
        <w:tc>
          <w:tcPr>
            <w:tcW w:w="1417"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0,96</w:t>
            </w:r>
          </w:p>
        </w:tc>
        <w:tc>
          <w:tcPr>
            <w:tcW w:w="1374" w:type="dxa"/>
            <w:shd w:val="clear" w:color="auto" w:fill="auto"/>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0,00</w:t>
            </w:r>
          </w:p>
        </w:tc>
        <w:tc>
          <w:tcPr>
            <w:tcW w:w="1118" w:type="dxa"/>
            <w:shd w:val="clear" w:color="auto" w:fill="auto"/>
            <w:noWrap/>
            <w:vAlign w:val="center"/>
          </w:tcPr>
          <w:p w:rsidR="00275E65" w:rsidRDefault="00902217">
            <w:pPr>
              <w:spacing w:after="0" w:line="240" w:lineRule="auto"/>
              <w:jc w:val="center"/>
              <w:outlineLvl w:val="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1,04</w:t>
            </w:r>
          </w:p>
        </w:tc>
      </w:tr>
      <w:tr w:rsidR="00275E65">
        <w:trPr>
          <w:trHeight w:val="288"/>
          <w:jc w:val="center"/>
        </w:trPr>
        <w:tc>
          <w:tcPr>
            <w:tcW w:w="2972"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Всього зовнішнє освітлення</w:t>
            </w:r>
          </w:p>
        </w:tc>
        <w:tc>
          <w:tcPr>
            <w:tcW w:w="850"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842"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559"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10 599 500,00</w:t>
            </w:r>
          </w:p>
        </w:tc>
        <w:tc>
          <w:tcPr>
            <w:tcW w:w="1276"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267 701,92</w:t>
            </w:r>
          </w:p>
        </w:tc>
        <w:tc>
          <w:tcPr>
            <w:tcW w:w="1419"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417"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32,50</w:t>
            </w:r>
          </w:p>
        </w:tc>
        <w:tc>
          <w:tcPr>
            <w:tcW w:w="1374"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0,00</w:t>
            </w:r>
          </w:p>
        </w:tc>
        <w:tc>
          <w:tcPr>
            <w:tcW w:w="1118"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35,25</w:t>
            </w:r>
          </w:p>
        </w:tc>
      </w:tr>
      <w:tr w:rsidR="00275E65">
        <w:trPr>
          <w:trHeight w:val="288"/>
          <w:jc w:val="center"/>
        </w:trPr>
        <w:tc>
          <w:tcPr>
            <w:tcW w:w="13827" w:type="dxa"/>
            <w:gridSpan w:val="9"/>
            <w:shd w:val="clear" w:color="000000" w:fill="E7E6E6"/>
            <w:noWrap/>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Громадський транспорт</w:t>
            </w:r>
          </w:p>
        </w:tc>
      </w:tr>
      <w:tr w:rsidR="00275E65">
        <w:trPr>
          <w:trHeight w:val="288"/>
          <w:jc w:val="center"/>
        </w:trPr>
        <w:tc>
          <w:tcPr>
            <w:tcW w:w="2972" w:type="dxa"/>
            <w:shd w:val="clear" w:color="auto" w:fill="auto"/>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850" w:type="dxa"/>
            <w:shd w:val="clear" w:color="auto" w:fill="auto"/>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842" w:type="dxa"/>
            <w:shd w:val="clear" w:color="auto" w:fill="auto"/>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559"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276"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419"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417"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374"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c>
          <w:tcPr>
            <w:tcW w:w="1118" w:type="dxa"/>
            <w:shd w:val="clear" w:color="auto" w:fill="auto"/>
            <w:noWrap/>
            <w:vAlign w:val="center"/>
          </w:tcPr>
          <w:p w:rsidR="00275E65" w:rsidRDefault="00275E65">
            <w:pPr>
              <w:spacing w:after="0" w:line="240" w:lineRule="auto"/>
              <w:jc w:val="center"/>
              <w:outlineLvl w:val="0"/>
              <w:rPr>
                <w:rFonts w:ascii="Times New Roman" w:eastAsia="Times New Roman" w:hAnsi="Times New Roman" w:cs="Times New Roman"/>
                <w:color w:val="000000"/>
                <w:sz w:val="18"/>
              </w:rPr>
            </w:pPr>
          </w:p>
        </w:tc>
      </w:tr>
      <w:tr w:rsidR="00275E65">
        <w:trPr>
          <w:trHeight w:val="288"/>
          <w:jc w:val="center"/>
        </w:trPr>
        <w:tc>
          <w:tcPr>
            <w:tcW w:w="2972"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Всього громадський транспорт</w:t>
            </w:r>
          </w:p>
        </w:tc>
        <w:tc>
          <w:tcPr>
            <w:tcW w:w="850"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842"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559"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0,00</w:t>
            </w:r>
          </w:p>
        </w:tc>
        <w:tc>
          <w:tcPr>
            <w:tcW w:w="1276"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0,00</w:t>
            </w:r>
          </w:p>
        </w:tc>
        <w:tc>
          <w:tcPr>
            <w:tcW w:w="1419"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417"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0,00</w:t>
            </w:r>
          </w:p>
        </w:tc>
        <w:tc>
          <w:tcPr>
            <w:tcW w:w="1374"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0,00</w:t>
            </w:r>
          </w:p>
        </w:tc>
        <w:tc>
          <w:tcPr>
            <w:tcW w:w="1118"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0,00</w:t>
            </w:r>
          </w:p>
        </w:tc>
      </w:tr>
      <w:tr w:rsidR="00275E65">
        <w:trPr>
          <w:trHeight w:val="360"/>
          <w:jc w:val="center"/>
        </w:trPr>
        <w:tc>
          <w:tcPr>
            <w:tcW w:w="2972"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Всього по громаді</w:t>
            </w:r>
          </w:p>
        </w:tc>
        <w:tc>
          <w:tcPr>
            <w:tcW w:w="850"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842" w:type="dxa"/>
            <w:shd w:val="clear" w:color="000000" w:fill="D6DCE4"/>
            <w:vAlign w:val="center"/>
          </w:tcPr>
          <w:p w:rsidR="00275E65" w:rsidRDefault="00275E65">
            <w:pPr>
              <w:spacing w:after="0" w:line="240" w:lineRule="auto"/>
              <w:jc w:val="center"/>
              <w:rPr>
                <w:rFonts w:ascii="Times New Roman" w:eastAsia="Times New Roman" w:hAnsi="Times New Roman" w:cs="Times New Roman"/>
                <w:b/>
                <w:bCs/>
                <w:color w:val="000000"/>
                <w:sz w:val="18"/>
              </w:rPr>
            </w:pPr>
          </w:p>
        </w:tc>
        <w:tc>
          <w:tcPr>
            <w:tcW w:w="1559"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341 475 544,77</w:t>
            </w:r>
          </w:p>
        </w:tc>
        <w:tc>
          <w:tcPr>
            <w:tcW w:w="1276"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8 539 603,04</w:t>
            </w:r>
          </w:p>
        </w:tc>
        <w:tc>
          <w:tcPr>
            <w:tcW w:w="1419"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0,00</w:t>
            </w:r>
          </w:p>
        </w:tc>
        <w:tc>
          <w:tcPr>
            <w:tcW w:w="1417"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7 645,18</w:t>
            </w:r>
          </w:p>
        </w:tc>
        <w:tc>
          <w:tcPr>
            <w:tcW w:w="1374"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18 870,00</w:t>
            </w:r>
          </w:p>
        </w:tc>
        <w:tc>
          <w:tcPr>
            <w:tcW w:w="1118" w:type="dxa"/>
            <w:shd w:val="clear" w:color="000000" w:fill="D6DCE4"/>
            <w:vAlign w:val="center"/>
          </w:tcPr>
          <w:p w:rsidR="00275E65" w:rsidRDefault="00902217">
            <w:pPr>
              <w:spacing w:after="0" w:line="240" w:lineRule="auto"/>
              <w:jc w:val="center"/>
              <w:rPr>
                <w:rFonts w:ascii="Times New Roman" w:eastAsia="Times New Roman" w:hAnsi="Times New Roman" w:cs="Times New Roman"/>
                <w:b/>
                <w:bCs/>
                <w:color w:val="000000"/>
                <w:sz w:val="18"/>
              </w:rPr>
            </w:pPr>
            <w:r>
              <w:rPr>
                <w:rFonts w:ascii="Times New Roman" w:eastAsia="Times New Roman" w:hAnsi="Times New Roman" w:cs="Times New Roman"/>
                <w:b/>
                <w:bCs/>
                <w:color w:val="000000"/>
                <w:sz w:val="18"/>
              </w:rPr>
              <w:t>5009,56</w:t>
            </w:r>
          </w:p>
        </w:tc>
      </w:tr>
    </w:tbl>
    <w:p w:rsidR="00275E65" w:rsidRDefault="00275E65">
      <w:pPr>
        <w:pStyle w:val="Arord"/>
        <w:tabs>
          <w:tab w:val="left" w:pos="709"/>
        </w:tabs>
        <w:spacing w:after="0" w:line="276" w:lineRule="auto"/>
        <w:rPr>
          <w:rFonts w:ascii="Times New Roman" w:hAnsi="Times New Roman" w:cs="Times New Roman"/>
          <w:sz w:val="22"/>
        </w:rPr>
      </w:pPr>
    </w:p>
    <w:p w:rsidR="00275E65" w:rsidRDefault="00902217">
      <w:pPr>
        <w:pStyle w:val="Arord"/>
        <w:tabs>
          <w:tab w:val="left" w:pos="709"/>
        </w:tabs>
        <w:spacing w:after="0" w:line="276" w:lineRule="auto"/>
        <w:rPr>
          <w:rFonts w:ascii="Times New Roman" w:hAnsi="Times New Roman" w:cs="Times New Roman"/>
          <w:sz w:val="22"/>
        </w:rPr>
      </w:pPr>
      <w:r>
        <w:rPr>
          <w:rFonts w:ascii="Times New Roman" w:eastAsiaTheme="minorEastAsia" w:hAnsi="Times New Roman" w:cstheme="minorHAnsi"/>
          <w:sz w:val="22"/>
        </w:rPr>
        <w:t>Секретар міської ради                                                                                     Альона КРАТКО</w:t>
      </w:r>
    </w:p>
    <w:sectPr w:rsidR="00275E65">
      <w:pgSz w:w="15840" w:h="12240" w:orient="landscape"/>
      <w:pgMar w:top="144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E65" w:rsidRDefault="00902217">
      <w:pPr>
        <w:spacing w:after="0" w:line="240" w:lineRule="auto"/>
      </w:pPr>
      <w:r>
        <w:separator/>
      </w:r>
    </w:p>
  </w:endnote>
  <w:endnote w:type="continuationSeparator" w:id="0">
    <w:p w:rsidR="00275E65" w:rsidRDefault="00902217">
      <w:pPr>
        <w:spacing w:after="0" w:line="240" w:lineRule="auto"/>
      </w:pPr>
      <w:r>
        <w:continuationSeparator/>
      </w:r>
    </w:p>
  </w:endnote>
  <w:endnote w:type="continuationNotice" w:id="1">
    <w:p w:rsidR="00275E65" w:rsidRDefault="00275E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Gungsuh">
    <w:charset w:val="00"/>
    <w:family w:val="auto"/>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E65" w:rsidRDefault="00902217">
    <w:pPr>
      <w:pStyle w:val="a6"/>
      <w:jc w:val="center"/>
    </w:pPr>
    <w:r>
      <w:rPr>
        <w:noProof/>
        <w:lang w:val="ru-RU" w:eastAsia="ru-RU"/>
      </w:rPr>
      <mc:AlternateContent>
        <mc:Choice Requires="wpg">
          <w:drawing>
            <wp:anchor distT="45720" distB="45720" distL="114300" distR="114300" simplePos="0" relativeHeight="251661312" behindDoc="0" locked="0" layoutInCell="1" allowOverlap="1">
              <wp:simplePos x="0" y="0"/>
              <wp:positionH relativeFrom="margin">
                <wp:posOffset>4835594</wp:posOffset>
              </wp:positionH>
              <wp:positionV relativeFrom="paragraph">
                <wp:posOffset>18107</wp:posOffset>
              </wp:positionV>
              <wp:extent cx="1113155" cy="1404620"/>
              <wp:effectExtent l="0" t="0" r="0" b="0"/>
              <wp:wrapSquare wrapText="bothSides"/>
              <wp:docPr id="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1404620"/>
                      </a:xfrm>
                      <a:prstGeom prst="rect">
                        <a:avLst/>
                      </a:prstGeom>
                      <a:noFill/>
                      <a:ln w="9525">
                        <a:noFill/>
                        <a:miter lim="800000"/>
                        <a:headEnd/>
                        <a:tailEnd/>
                      </a:ln>
                    </wps:spPr>
                    <wps:txbx>
                      <w:txbxContent>
                        <w:p w:rsidR="00275E65" w:rsidRDefault="00902217">
                          <w:pPr>
                            <w:rPr>
                              <w:color w:val="2F5496"/>
                            </w:rPr>
                          </w:pPr>
                          <w:r>
                            <w:rPr>
                              <w:color w:val="2F5496" w:themeColor="accent1" w:themeShade="BF"/>
                              <w:lang w:val="uk-UA"/>
                            </w:rPr>
                            <w:t>Серпень,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w15="http://schemas.microsoft.com/office/word/2012/wordml">
          <w:pict>
            <v:shape id="shape 1" o:spid="_x0000_s1" o:spt="1" style="position:absolute;mso-wrap-distance-left:9.0pt;mso-wrap-distance-top:3.6pt;mso-wrap-distance-right:9.0pt;mso-wrap-distance-bottom:3.6pt;z-index:251661312;o:allowoverlap:true;o:allowincell:true;mso-position-horizontal-relative:margin;margin-left:380.8pt;mso-position-horizontal:absolute;mso-position-vertical-relative:text;margin-top:1.4pt;mso-position-vertical:absolute;width:87.6pt;height:110.6pt;v-text-anchor:top;" coordsize="100000,100000" path="" filled="f" stroked="f" strokeweight="0.75pt">
              <v:path textboxrect="0,0,0,0"/>
              <w10:wrap type="square"/>
              <v:textbox>
                <w:txbxContent>
                  <w:p>
                    <w:pPr>
                      <w:rPr>
                        <w:color w:val="2F5496"/>
                      </w:rPr>
                    </w:pPr>
                    <w:r>
                      <w:rPr>
                        <w:color w:val="2F5496" w:themeColor="accent1" w:themeShade="BF"/>
                        <w:lang w:val="uk-UA"/>
                      </w:rPr>
                      <w:t xml:space="preserve">Серпень</w:t>
                    </w:r>
                    <w:r>
                      <w:rPr>
                        <w:color w:val="2F5496" w:themeColor="accent1" w:themeShade="BF"/>
                        <w:lang w:val="uk-UA"/>
                      </w:rPr>
                      <w:t xml:space="preserve">, 20</w:t>
                    </w:r>
                    <w:r>
                      <w:rPr>
                        <w:color w:val="2F5496" w:themeColor="accent1" w:themeShade="BF"/>
                        <w:lang w:val="uk-UA"/>
                      </w:rPr>
                      <w:t xml:space="preserve">24</w:t>
                    </w:r>
                    <w:r/>
                  </w:p>
                </w:txbxContent>
              </v:textbox>
            </v:shape>
          </w:pict>
        </mc:Fallback>
      </mc:AlternateContent>
    </w:r>
    <w:sdt>
      <w:sdtPr>
        <w:id w:val="2090496571"/>
        <w:docPartObj>
          <w:docPartGallery w:val="Page Numbers (Bottom of Page)"/>
          <w:docPartUnique/>
        </w:docPartObj>
      </w:sdtPr>
      <w:sdtEndPr/>
      <w:sdtContent>
        <w:r>
          <w:rPr>
            <w:noProof/>
            <w:lang w:val="ru-RU" w:eastAsia="ru-RU"/>
          </w:rPr>
          <mc:AlternateContent>
            <mc:Choice Requires="wps">
              <w:drawing>
                <wp:anchor distT="0" distB="0" distL="114300" distR="114300" simplePos="0" relativeHeight="251655168" behindDoc="0" locked="0" layoutInCell="1" allowOverlap="1">
                  <wp:simplePos x="0" y="0"/>
                  <wp:positionH relativeFrom="page">
                    <wp:posOffset>6614712</wp:posOffset>
                  </wp:positionH>
                  <wp:positionV relativeFrom="page">
                    <wp:posOffset>10057986</wp:posOffset>
                  </wp:positionV>
                  <wp:extent cx="810784" cy="496073"/>
                  <wp:effectExtent l="0" t="0" r="8890" b="0"/>
                  <wp:wrapNone/>
                  <wp:docPr id="3" name="Рівнобедрений трикут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784" cy="496073"/>
                          </a:xfrm>
                          <a:prstGeom prst="triangle">
                            <a:avLst>
                              <a:gd name="adj" fmla="val 100000"/>
                            </a:avLst>
                          </a:prstGeom>
                          <a:solidFill>
                            <a:schemeClr val="accent1">
                              <a:lumMod val="75000"/>
                            </a:schemeClr>
                          </a:solidFill>
                          <a:ln>
                            <a:noFill/>
                          </a:ln>
                        </wps:spPr>
                        <wps:txbx>
                          <w:txbxContent>
                            <w:p w:rsidR="00275E65" w:rsidRDefault="00902217">
                              <w:pPr>
                                <w:jc w:val="center"/>
                                <w:rPr>
                                  <w:sz w:val="20"/>
                                  <w:szCs w:val="20"/>
                                </w:rPr>
                              </w:pPr>
                              <w:r>
                                <w:rPr>
                                  <w:rFonts w:eastAsiaTheme="minorEastAsia" w:cs="Times New Roman"/>
                                  <w:sz w:val="20"/>
                                  <w:szCs w:val="20"/>
                                </w:rPr>
                                <w:fldChar w:fldCharType="begin"/>
                              </w:r>
                              <w:r>
                                <w:rPr>
                                  <w:rFonts w:eastAsiaTheme="minorEastAsia"/>
                                  <w:sz w:val="20"/>
                                  <w:szCs w:val="20"/>
                                </w:rPr>
                                <w:instrText>PAGE    \* MERGEFORMAT</w:instrText>
                              </w:r>
                              <w:r>
                                <w:rPr>
                                  <w:rFonts w:eastAsiaTheme="minorEastAsia" w:cs="Times New Roman"/>
                                  <w:sz w:val="20"/>
                                  <w:szCs w:val="20"/>
                                </w:rPr>
                                <w:fldChar w:fldCharType="separate"/>
                              </w:r>
                              <w:r w:rsidRPr="00902217">
                                <w:rPr>
                                  <w:rFonts w:asciiTheme="majorHAnsi" w:eastAsiaTheme="majorEastAsia" w:hAnsiTheme="majorHAnsi" w:cstheme="majorBidi"/>
                                  <w:noProof/>
                                  <w:color w:val="FFFFFF" w:themeColor="background1"/>
                                  <w:sz w:val="20"/>
                                  <w:szCs w:val="20"/>
                                  <w:lang w:val="uk-UA"/>
                                </w:rPr>
                                <w:t>25</w:t>
                              </w:r>
                              <w:r>
                                <w:rPr>
                                  <w:rFonts w:asciiTheme="majorHAnsi" w:eastAsiaTheme="majorEastAsia" w:hAnsiTheme="majorHAnsi" w:cstheme="majorBidi"/>
                                  <w:color w:val="FFFFFF" w:themeColor="background1"/>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192" o:spid="_x0000_s1044" type="#_x0000_t5" style="position:absolute;left:0;text-align:left;margin-left:520.85pt;margin-top:791.95pt;width:63.85pt;height:39.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" adj="21600" fillcolor="#2f5496 [2404]" stroked="f">
                  <v:textbox>
                    <w:txbxContent>
                      <w:p w:rsidR="00275E65" w:rsidRDefault="00902217">
                        <w:pPr>
                          <w:jc w:val="center"/>
                          <w:rPr>
                            <w:sz w:val="20"/>
                            <w:szCs w:val="20"/>
                          </w:rPr>
                        </w:pPr>
                        <w:r>
                          <w:rPr>
                            <w:rFonts w:eastAsiaTheme="minorEastAsia" w:cs="Times New Roman"/>
                            <w:sz w:val="20"/>
                            <w:szCs w:val="20"/>
                          </w:rPr>
                          <w:fldChar w:fldCharType="begin"/>
                        </w:r>
                        <w:r>
                          <w:rPr>
                            <w:rFonts w:eastAsiaTheme="minorEastAsia"/>
                            <w:sz w:val="20"/>
                            <w:szCs w:val="20"/>
                          </w:rPr>
                          <w:instrText>PAGE    \* MERGEFORMAT</w:instrText>
                        </w:r>
                        <w:r>
                          <w:rPr>
                            <w:rFonts w:eastAsiaTheme="minorEastAsia" w:cs="Times New Roman"/>
                            <w:sz w:val="20"/>
                            <w:szCs w:val="20"/>
                          </w:rPr>
                          <w:fldChar w:fldCharType="separate"/>
                        </w:r>
                        <w:r w:rsidRPr="00902217">
                          <w:rPr>
                            <w:rFonts w:asciiTheme="majorHAnsi" w:eastAsiaTheme="majorEastAsia" w:hAnsiTheme="majorHAnsi" w:cstheme="majorBidi"/>
                            <w:noProof/>
                            <w:color w:val="FFFFFF" w:themeColor="background1"/>
                            <w:sz w:val="20"/>
                            <w:szCs w:val="20"/>
                            <w:lang w:val="uk-UA"/>
                          </w:rPr>
                          <w:t>25</w:t>
                        </w:r>
                        <w:r>
                          <w:rPr>
                            <w:rFonts w:asciiTheme="majorHAnsi" w:eastAsiaTheme="majorEastAsia" w:hAnsiTheme="majorHAnsi" w:cstheme="majorBidi"/>
                            <w:color w:val="FFFFFF" w:themeColor="background1"/>
                            <w:sz w:val="20"/>
                            <w:szCs w:val="20"/>
                          </w:rPr>
                          <w:fldChar w:fldCharType="end"/>
                        </w:r>
                      </w:p>
                    </w:txbxContent>
                  </v:textbox>
                  <w10:wrap anchorx="page" anchory="page"/>
                </v:shape>
              </w:pict>
            </mc:Fallback>
          </mc:AlternateContent>
        </w:r>
        <w:r>
          <w:rPr>
            <w:noProof/>
            <w:lang w:val="ru-RU" w:eastAsia="ru-RU"/>
          </w:rPr>
          <mc:AlternateContent>
            <mc:Choice Requires="wpg">
              <w:drawing>
                <wp:anchor distT="0" distB="0" distL="114300" distR="114300" simplePos="0" relativeHeight="251656192" behindDoc="0" locked="0" layoutInCell="1" allowOverlap="1">
                  <wp:simplePos x="0" y="0"/>
                  <wp:positionH relativeFrom="column">
                    <wp:posOffset>-64908</wp:posOffset>
                  </wp:positionH>
                  <wp:positionV relativeFrom="paragraph">
                    <wp:posOffset>-5715</wp:posOffset>
                  </wp:positionV>
                  <wp:extent cx="5828306" cy="0"/>
                  <wp:effectExtent l="0" t="0" r="20320" b="19050"/>
                  <wp:wrapNone/>
                  <wp:docPr id="4" name="Пряма сполучна лінія 193"/>
                  <wp:cNvGraphicFramePr/>
                  <a:graphic xmlns:a="http://schemas.openxmlformats.org/drawingml/2006/main">
                    <a:graphicData uri="http://schemas.microsoft.com/office/word/2010/wordprocessingShape">
                      <wps:wsp>
                        <wps:cNvCnPr/>
                        <wps:spPr bwMode="auto">
                          <a:xfrm flipH="1">
                            <a:off x="0" y="0"/>
                            <a:ext cx="5828306"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3" o:spid="_x0000_s3" o:spt="20" style="position:absolute;mso-wrap-distance-left:9.0pt;mso-wrap-distance-top:0.0pt;mso-wrap-distance-right:9.0pt;mso-wrap-distance-bottom:0.0pt;z-index:251656192;o:allowoverlap:true;o:allowincell:true;mso-position-horizontal-relative:text;margin-left:-5.1pt;mso-position-horizontal:absolute;mso-position-vertical-relative:text;margin-top:-0.4pt;mso-position-vertical:absolute;width:458.9pt;height:0.0pt;flip:x;" coordsize="100000,100000" path="" filled="f" strokecolor="#4472C4" strokeweight="1.00pt">
                  <v:path textboxrect="0,0,0,0"/>
                </v:shape>
              </w:pict>
            </mc:Fallback>
          </mc:AlternateConten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379394"/>
      <w:docPartObj>
        <w:docPartGallery w:val="Page Numbers (Bottom of Page)"/>
        <w:docPartUnique/>
      </w:docPartObj>
    </w:sdtPr>
    <w:sdtEndPr/>
    <w:sdtContent>
      <w:p w:rsidR="00275E65" w:rsidRDefault="00902217">
        <w:pPr>
          <w:pStyle w:val="a6"/>
          <w:jc w:val="center"/>
        </w:pPr>
        <w:r>
          <w:fldChar w:fldCharType="begin"/>
        </w:r>
        <w:r>
          <w:instrText>PAGE</w:instrText>
        </w:r>
        <w:r>
          <w:fldChar w:fldCharType="separate"/>
        </w:r>
        <w:r>
          <w:t>93</w:t>
        </w:r>
        <w:r>
          <w:fldChar w:fldCharType="end"/>
        </w:r>
      </w:p>
      <w:p w:rsidR="00275E65" w:rsidRDefault="00902217">
        <w:pPr>
          <w:pStyle w:val="a6"/>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E65" w:rsidRDefault="00902217">
      <w:pPr>
        <w:rPr>
          <w:sz w:val="12"/>
        </w:rPr>
      </w:pPr>
      <w:r>
        <w:separator/>
      </w:r>
    </w:p>
  </w:footnote>
  <w:footnote w:type="continuationSeparator" w:id="0">
    <w:p w:rsidR="00275E65" w:rsidRDefault="00902217">
      <w:pPr>
        <w:rPr>
          <w:sz w:val="12"/>
        </w:rPr>
      </w:pPr>
      <w:r>
        <w:continuationSeparator/>
      </w:r>
    </w:p>
  </w:footnote>
  <w:footnote w:type="continuationNotice" w:id="1">
    <w:p w:rsidR="00275E65" w:rsidRDefault="00275E65">
      <w:pPr>
        <w:spacing w:after="0" w:line="240" w:lineRule="auto"/>
      </w:pPr>
    </w:p>
  </w:footnote>
  <w:footnote w:id="2">
    <w:p w:rsidR="00275E65" w:rsidRDefault="00902217">
      <w:pPr>
        <w:pStyle w:val="a8"/>
      </w:pPr>
      <w:r>
        <w:rPr>
          <w:rStyle w:val="af7"/>
        </w:rPr>
        <w:footnoteRef/>
      </w:r>
      <w:r>
        <w:t xml:space="preserve"> Методика розроблення місцевих енергетичних планів. Розділ І. Загальні положення. Пункт 1.3, абзац 1.</w:t>
      </w:r>
    </w:p>
  </w:footnote>
  <w:footnote w:id="3">
    <w:p w:rsidR="00275E65" w:rsidRDefault="00902217">
      <w:pPr>
        <w:pBdr>
          <w:top w:val="none" w:sz="4" w:space="0" w:color="000000"/>
          <w:left w:val="none" w:sz="4" w:space="0" w:color="000000"/>
          <w:bottom w:val="none" w:sz="4" w:space="0" w:color="000000"/>
          <w:right w:val="none" w:sz="4" w:space="0" w:color="000000"/>
          <w:between w:val="none" w:sz="4" w:space="0" w:color="000000"/>
        </w:pBdr>
        <w:ind w:hanging="2"/>
        <w:rPr>
          <w:color w:val="000000"/>
          <w:sz w:val="20"/>
          <w:szCs w:val="20"/>
          <w:lang w:val="ru-RU"/>
        </w:rPr>
      </w:pPr>
      <w:r>
        <w:rPr>
          <w:rStyle w:val="aff9"/>
        </w:rPr>
        <w:footnoteRef/>
      </w:r>
      <w:r>
        <w:rPr>
          <w:color w:val="000000"/>
          <w:sz w:val="20"/>
          <w:szCs w:val="20"/>
          <w:lang w:val="ru-RU"/>
        </w:rPr>
        <w:t xml:space="preserve"> </w:t>
      </w:r>
      <w:r>
        <w:rPr>
          <w:rFonts w:ascii="Verdana" w:eastAsia="Verdana" w:hAnsi="Verdana" w:cs="Verdana"/>
          <w:color w:val="000000"/>
          <w:sz w:val="16"/>
          <w:szCs w:val="16"/>
          <w:lang w:val="ru-RU"/>
        </w:rPr>
        <w:t>До стандартів та правил, що діють на час проведення енергоаудитів будівель. У разі необхідності потрібно буде оновити перелік запланованих заходів на етапі розробки проектної документації.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E65" w:rsidRDefault="00275E65">
    <w:pPr>
      <w:pStyle w:val="aff5"/>
    </w:pPr>
  </w:p>
  <w:p w:rsidR="00275E65" w:rsidRDefault="00275E65">
    <w:pPr>
      <w:pStyle w:val="aff5"/>
    </w:pPr>
  </w:p>
  <w:p w:rsidR="00275E65" w:rsidRDefault="00902217">
    <w:pPr>
      <w:pStyle w:val="aff5"/>
      <w:rPr>
        <w:color w:val="2F5496"/>
        <w:lang w:val="uk-UA"/>
      </w:rPr>
    </w:pPr>
    <w:r>
      <w:rPr>
        <w:color w:val="2F5496" w:themeColor="accent1" w:themeShade="BF"/>
        <w:lang w:val="uk-UA"/>
      </w:rPr>
      <w:t>МЕП Носівської громади</w:t>
    </w:r>
  </w:p>
  <w:p w:rsidR="00275E65" w:rsidRDefault="00902217">
    <w:pPr>
      <w:pStyle w:val="aff5"/>
      <w:rPr>
        <w:color w:val="2F5496"/>
        <w:lang w:val="uk-UA"/>
      </w:rPr>
    </w:pPr>
    <w:r>
      <w:rPr>
        <w:noProof/>
        <w:lang w:val="ru-RU" w:eastAsia="ru-RU"/>
      </w:rPr>
      <mc:AlternateContent>
        <mc:Choice Requires="wpg">
          <w:drawing>
            <wp:anchor distT="0" distB="0" distL="114300" distR="114300" simplePos="0" relativeHeight="251659264" behindDoc="0" locked="0" layoutInCell="1" allowOverlap="1">
              <wp:simplePos x="0" y="0"/>
              <wp:positionH relativeFrom="margin">
                <wp:posOffset>14604</wp:posOffset>
              </wp:positionH>
              <wp:positionV relativeFrom="paragraph">
                <wp:posOffset>27316</wp:posOffset>
              </wp:positionV>
              <wp:extent cx="1923940" cy="2988"/>
              <wp:effectExtent l="0" t="0" r="19685" b="35560"/>
              <wp:wrapNone/>
              <wp:docPr id="1" name="Пряма сполучна лінія 194"/>
              <wp:cNvGraphicFramePr/>
              <a:graphic xmlns:a="http://schemas.openxmlformats.org/drawingml/2006/main">
                <a:graphicData uri="http://schemas.microsoft.com/office/word/2010/wordprocessingShape">
                  <wps:wsp>
                    <wps:cNvCnPr/>
                    <wps:spPr bwMode="auto">
                      <a:xfrm flipH="1">
                        <a:off x="0" y="0"/>
                        <a:ext cx="1923940" cy="2988"/>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0" o:spid="_x0000_s0" o:spt="20" style="position:absolute;mso-wrap-distance-left:9.0pt;mso-wrap-distance-top:0.0pt;mso-wrap-distance-right:9.0pt;mso-wrap-distance-bottom:0.0pt;z-index:251659264;o:allowoverlap:true;o:allowincell:true;mso-position-horizontal-relative:margin;margin-left:1.1pt;mso-position-horizontal:absolute;mso-position-vertical-relative:text;margin-top:2.2pt;mso-position-vertical:absolute;width:151.5pt;height:0.2pt;flip:x;" coordsize="100000,100000" path="" filled="f" strokecolor="#4472C4" strokeweight="1.00pt">
              <v:path textboxrect="0,0,0,0"/>
            </v:shape>
          </w:pict>
        </mc:Fallback>
      </mc:AlternateContent>
    </w:r>
  </w:p>
  <w:p w:rsidR="00275E65" w:rsidRDefault="00275E65">
    <w:pPr>
      <w:pStyle w:val="aff5"/>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ACD"/>
    <w:multiLevelType w:val="hybridMultilevel"/>
    <w:tmpl w:val="67EE7594"/>
    <w:lvl w:ilvl="0" w:tplc="173466BE">
      <w:start w:val="1"/>
      <w:numFmt w:val="bullet"/>
      <w:lvlText w:val=""/>
      <w:lvlJc w:val="left"/>
      <w:pPr>
        <w:ind w:left="720" w:hanging="360"/>
      </w:pPr>
      <w:rPr>
        <w:rFonts w:ascii="Symbol" w:hAnsi="Symbol" w:hint="default"/>
      </w:rPr>
    </w:lvl>
    <w:lvl w:ilvl="1" w:tplc="1AC2DA2C">
      <w:start w:val="23"/>
      <w:numFmt w:val="bullet"/>
      <w:lvlText w:val="-"/>
      <w:lvlJc w:val="left"/>
      <w:pPr>
        <w:ind w:left="1440" w:hanging="360"/>
      </w:pPr>
      <w:rPr>
        <w:rFonts w:ascii="Calibri" w:eastAsiaTheme="minorHAnsi" w:hAnsi="Calibri" w:cs="Calibri" w:hint="default"/>
      </w:rPr>
    </w:lvl>
    <w:lvl w:ilvl="2" w:tplc="8DDE09EE">
      <w:start w:val="1"/>
      <w:numFmt w:val="bullet"/>
      <w:lvlText w:val=""/>
      <w:lvlJc w:val="left"/>
      <w:pPr>
        <w:ind w:left="2160" w:hanging="360"/>
      </w:pPr>
      <w:rPr>
        <w:rFonts w:ascii="Wingdings" w:hAnsi="Wingdings" w:hint="default"/>
      </w:rPr>
    </w:lvl>
    <w:lvl w:ilvl="3" w:tplc="2A485974">
      <w:start w:val="1"/>
      <w:numFmt w:val="bullet"/>
      <w:lvlText w:val=""/>
      <w:lvlJc w:val="left"/>
      <w:pPr>
        <w:ind w:left="2880" w:hanging="360"/>
      </w:pPr>
      <w:rPr>
        <w:rFonts w:ascii="Symbol" w:hAnsi="Symbol" w:hint="default"/>
      </w:rPr>
    </w:lvl>
    <w:lvl w:ilvl="4" w:tplc="10E8E3BA">
      <w:start w:val="1"/>
      <w:numFmt w:val="bullet"/>
      <w:lvlText w:val="o"/>
      <w:lvlJc w:val="left"/>
      <w:pPr>
        <w:ind w:left="3600" w:hanging="360"/>
      </w:pPr>
      <w:rPr>
        <w:rFonts w:ascii="Courier New" w:hAnsi="Courier New" w:cs="Courier New" w:hint="default"/>
      </w:rPr>
    </w:lvl>
    <w:lvl w:ilvl="5" w:tplc="FFAAD138">
      <w:start w:val="1"/>
      <w:numFmt w:val="bullet"/>
      <w:lvlText w:val=""/>
      <w:lvlJc w:val="left"/>
      <w:pPr>
        <w:ind w:left="4320" w:hanging="360"/>
      </w:pPr>
      <w:rPr>
        <w:rFonts w:ascii="Wingdings" w:hAnsi="Wingdings" w:hint="default"/>
      </w:rPr>
    </w:lvl>
    <w:lvl w:ilvl="6" w:tplc="E50CBA6A">
      <w:start w:val="1"/>
      <w:numFmt w:val="bullet"/>
      <w:lvlText w:val=""/>
      <w:lvlJc w:val="left"/>
      <w:pPr>
        <w:ind w:left="5040" w:hanging="360"/>
      </w:pPr>
      <w:rPr>
        <w:rFonts w:ascii="Symbol" w:hAnsi="Symbol" w:hint="default"/>
      </w:rPr>
    </w:lvl>
    <w:lvl w:ilvl="7" w:tplc="181681A2">
      <w:start w:val="1"/>
      <w:numFmt w:val="bullet"/>
      <w:lvlText w:val="o"/>
      <w:lvlJc w:val="left"/>
      <w:pPr>
        <w:ind w:left="5760" w:hanging="360"/>
      </w:pPr>
      <w:rPr>
        <w:rFonts w:ascii="Courier New" w:hAnsi="Courier New" w:cs="Courier New" w:hint="default"/>
      </w:rPr>
    </w:lvl>
    <w:lvl w:ilvl="8" w:tplc="B0BA46A0">
      <w:start w:val="1"/>
      <w:numFmt w:val="bullet"/>
      <w:lvlText w:val=""/>
      <w:lvlJc w:val="left"/>
      <w:pPr>
        <w:ind w:left="6480" w:hanging="360"/>
      </w:pPr>
      <w:rPr>
        <w:rFonts w:ascii="Wingdings" w:hAnsi="Wingdings" w:hint="default"/>
      </w:rPr>
    </w:lvl>
  </w:abstractNum>
  <w:abstractNum w:abstractNumId="1">
    <w:nsid w:val="0909426B"/>
    <w:multiLevelType w:val="hybridMultilevel"/>
    <w:tmpl w:val="9904DB5C"/>
    <w:lvl w:ilvl="0" w:tplc="127A59A4">
      <w:start w:val="1"/>
      <w:numFmt w:val="bullet"/>
      <w:lvlText w:val=""/>
      <w:lvlJc w:val="left"/>
      <w:pPr>
        <w:ind w:left="720" w:hanging="360"/>
      </w:pPr>
      <w:rPr>
        <w:rFonts w:ascii="Symbol" w:hAnsi="Symbol" w:hint="default"/>
      </w:rPr>
    </w:lvl>
    <w:lvl w:ilvl="1" w:tplc="4322D322">
      <w:start w:val="1"/>
      <w:numFmt w:val="bullet"/>
      <w:lvlText w:val="o"/>
      <w:lvlJc w:val="left"/>
      <w:pPr>
        <w:ind w:left="1440" w:hanging="360"/>
      </w:pPr>
      <w:rPr>
        <w:rFonts w:ascii="Courier New" w:hAnsi="Courier New" w:cs="Courier New" w:hint="default"/>
      </w:rPr>
    </w:lvl>
    <w:lvl w:ilvl="2" w:tplc="3F90FE0A">
      <w:start w:val="1"/>
      <w:numFmt w:val="bullet"/>
      <w:lvlText w:val=""/>
      <w:lvlJc w:val="left"/>
      <w:pPr>
        <w:ind w:left="2160" w:hanging="360"/>
      </w:pPr>
      <w:rPr>
        <w:rFonts w:ascii="Wingdings" w:hAnsi="Wingdings" w:hint="default"/>
      </w:rPr>
    </w:lvl>
    <w:lvl w:ilvl="3" w:tplc="78F859EC">
      <w:start w:val="1"/>
      <w:numFmt w:val="bullet"/>
      <w:lvlText w:val=""/>
      <w:lvlJc w:val="left"/>
      <w:pPr>
        <w:ind w:left="2880" w:hanging="360"/>
      </w:pPr>
      <w:rPr>
        <w:rFonts w:ascii="Symbol" w:hAnsi="Symbol" w:hint="default"/>
      </w:rPr>
    </w:lvl>
    <w:lvl w:ilvl="4" w:tplc="3C086FC2">
      <w:start w:val="1"/>
      <w:numFmt w:val="bullet"/>
      <w:lvlText w:val="o"/>
      <w:lvlJc w:val="left"/>
      <w:pPr>
        <w:ind w:left="3600" w:hanging="360"/>
      </w:pPr>
      <w:rPr>
        <w:rFonts w:ascii="Courier New" w:hAnsi="Courier New" w:cs="Courier New" w:hint="default"/>
      </w:rPr>
    </w:lvl>
    <w:lvl w:ilvl="5" w:tplc="FEB280DC">
      <w:start w:val="1"/>
      <w:numFmt w:val="bullet"/>
      <w:lvlText w:val=""/>
      <w:lvlJc w:val="left"/>
      <w:pPr>
        <w:ind w:left="4320" w:hanging="360"/>
      </w:pPr>
      <w:rPr>
        <w:rFonts w:ascii="Wingdings" w:hAnsi="Wingdings" w:hint="default"/>
      </w:rPr>
    </w:lvl>
    <w:lvl w:ilvl="6" w:tplc="EBA85428">
      <w:start w:val="1"/>
      <w:numFmt w:val="bullet"/>
      <w:lvlText w:val=""/>
      <w:lvlJc w:val="left"/>
      <w:pPr>
        <w:ind w:left="5040" w:hanging="360"/>
      </w:pPr>
      <w:rPr>
        <w:rFonts w:ascii="Symbol" w:hAnsi="Symbol" w:hint="default"/>
      </w:rPr>
    </w:lvl>
    <w:lvl w:ilvl="7" w:tplc="DB389374">
      <w:start w:val="1"/>
      <w:numFmt w:val="bullet"/>
      <w:lvlText w:val="o"/>
      <w:lvlJc w:val="left"/>
      <w:pPr>
        <w:ind w:left="5760" w:hanging="360"/>
      </w:pPr>
      <w:rPr>
        <w:rFonts w:ascii="Courier New" w:hAnsi="Courier New" w:cs="Courier New" w:hint="default"/>
      </w:rPr>
    </w:lvl>
    <w:lvl w:ilvl="8" w:tplc="5EE4D7F6">
      <w:start w:val="1"/>
      <w:numFmt w:val="bullet"/>
      <w:lvlText w:val=""/>
      <w:lvlJc w:val="left"/>
      <w:pPr>
        <w:ind w:left="6480" w:hanging="360"/>
      </w:pPr>
      <w:rPr>
        <w:rFonts w:ascii="Wingdings" w:hAnsi="Wingdings" w:hint="default"/>
      </w:rPr>
    </w:lvl>
  </w:abstractNum>
  <w:abstractNum w:abstractNumId="2">
    <w:nsid w:val="115E7D6A"/>
    <w:multiLevelType w:val="hybridMultilevel"/>
    <w:tmpl w:val="5F1653C6"/>
    <w:lvl w:ilvl="0" w:tplc="36CEF2EE">
      <w:start w:val="1"/>
      <w:numFmt w:val="decimal"/>
      <w:lvlText w:val="Рис. %1."/>
      <w:lvlJc w:val="left"/>
      <w:pPr>
        <w:ind w:left="720" w:hanging="360"/>
      </w:pPr>
      <w:rPr>
        <w:rFonts w:hint="default"/>
      </w:rPr>
    </w:lvl>
    <w:lvl w:ilvl="1" w:tplc="5F84D814">
      <w:start w:val="1"/>
      <w:numFmt w:val="lowerLetter"/>
      <w:lvlText w:val="%2."/>
      <w:lvlJc w:val="left"/>
      <w:pPr>
        <w:ind w:left="1440" w:hanging="360"/>
      </w:pPr>
    </w:lvl>
    <w:lvl w:ilvl="2" w:tplc="F68E306E">
      <w:start w:val="1"/>
      <w:numFmt w:val="lowerRoman"/>
      <w:lvlText w:val="%3."/>
      <w:lvlJc w:val="right"/>
      <w:pPr>
        <w:ind w:left="2160" w:hanging="180"/>
      </w:pPr>
    </w:lvl>
    <w:lvl w:ilvl="3" w:tplc="32043D4C">
      <w:start w:val="1"/>
      <w:numFmt w:val="decimal"/>
      <w:lvlText w:val="%4."/>
      <w:lvlJc w:val="left"/>
      <w:pPr>
        <w:ind w:left="2880" w:hanging="360"/>
      </w:pPr>
    </w:lvl>
    <w:lvl w:ilvl="4" w:tplc="F13C1434">
      <w:start w:val="1"/>
      <w:numFmt w:val="lowerLetter"/>
      <w:lvlText w:val="%5."/>
      <w:lvlJc w:val="left"/>
      <w:pPr>
        <w:ind w:left="3600" w:hanging="360"/>
      </w:pPr>
    </w:lvl>
    <w:lvl w:ilvl="5" w:tplc="5352C3D8">
      <w:start w:val="1"/>
      <w:numFmt w:val="lowerRoman"/>
      <w:lvlText w:val="%6."/>
      <w:lvlJc w:val="right"/>
      <w:pPr>
        <w:ind w:left="4320" w:hanging="180"/>
      </w:pPr>
    </w:lvl>
    <w:lvl w:ilvl="6" w:tplc="B7363B9A">
      <w:start w:val="1"/>
      <w:numFmt w:val="decimal"/>
      <w:lvlText w:val="%7."/>
      <w:lvlJc w:val="left"/>
      <w:pPr>
        <w:ind w:left="5040" w:hanging="360"/>
      </w:pPr>
    </w:lvl>
    <w:lvl w:ilvl="7" w:tplc="147AF5D0">
      <w:start w:val="1"/>
      <w:numFmt w:val="lowerLetter"/>
      <w:lvlText w:val="%8."/>
      <w:lvlJc w:val="left"/>
      <w:pPr>
        <w:ind w:left="5760" w:hanging="360"/>
      </w:pPr>
    </w:lvl>
    <w:lvl w:ilvl="8" w:tplc="B99E99BA">
      <w:start w:val="1"/>
      <w:numFmt w:val="lowerRoman"/>
      <w:lvlText w:val="%9."/>
      <w:lvlJc w:val="right"/>
      <w:pPr>
        <w:ind w:left="6480" w:hanging="180"/>
      </w:pPr>
    </w:lvl>
  </w:abstractNum>
  <w:abstractNum w:abstractNumId="3">
    <w:nsid w:val="14A5316B"/>
    <w:multiLevelType w:val="hybridMultilevel"/>
    <w:tmpl w:val="2540571C"/>
    <w:lvl w:ilvl="0" w:tplc="5CE64346">
      <w:start w:val="1"/>
      <w:numFmt w:val="bullet"/>
      <w:lvlText w:val="●"/>
      <w:lvlJc w:val="left"/>
      <w:pPr>
        <w:ind w:left="1287" w:hanging="360"/>
      </w:pPr>
      <w:rPr>
        <w:rFonts w:ascii="noto sans symbols" w:eastAsia="noto sans symbols" w:hAnsi="noto sans symbols" w:cs="noto sans symbols"/>
      </w:rPr>
    </w:lvl>
    <w:lvl w:ilvl="1" w:tplc="488A6982">
      <w:start w:val="1"/>
      <w:numFmt w:val="bullet"/>
      <w:lvlText w:val="o"/>
      <w:lvlJc w:val="left"/>
      <w:pPr>
        <w:ind w:left="2007" w:hanging="360"/>
      </w:pPr>
      <w:rPr>
        <w:rFonts w:ascii="Courier New" w:eastAsia="Courier New" w:hAnsi="Courier New" w:cs="Courier New"/>
      </w:rPr>
    </w:lvl>
    <w:lvl w:ilvl="2" w:tplc="12EA081A">
      <w:start w:val="1"/>
      <w:numFmt w:val="bullet"/>
      <w:lvlText w:val="▪"/>
      <w:lvlJc w:val="left"/>
      <w:pPr>
        <w:ind w:left="2727" w:hanging="360"/>
      </w:pPr>
      <w:rPr>
        <w:rFonts w:ascii="noto sans symbols" w:eastAsia="noto sans symbols" w:hAnsi="noto sans symbols" w:cs="noto sans symbols"/>
      </w:rPr>
    </w:lvl>
    <w:lvl w:ilvl="3" w:tplc="2C5E5E62">
      <w:start w:val="1"/>
      <w:numFmt w:val="bullet"/>
      <w:lvlText w:val="●"/>
      <w:lvlJc w:val="left"/>
      <w:pPr>
        <w:ind w:left="3447" w:hanging="360"/>
      </w:pPr>
      <w:rPr>
        <w:rFonts w:ascii="noto sans symbols" w:eastAsia="noto sans symbols" w:hAnsi="noto sans symbols" w:cs="noto sans symbols"/>
      </w:rPr>
    </w:lvl>
    <w:lvl w:ilvl="4" w:tplc="484298D4">
      <w:start w:val="1"/>
      <w:numFmt w:val="bullet"/>
      <w:lvlText w:val="o"/>
      <w:lvlJc w:val="left"/>
      <w:pPr>
        <w:ind w:left="4167" w:hanging="360"/>
      </w:pPr>
      <w:rPr>
        <w:rFonts w:ascii="Courier New" w:eastAsia="Courier New" w:hAnsi="Courier New" w:cs="Courier New"/>
      </w:rPr>
    </w:lvl>
    <w:lvl w:ilvl="5" w:tplc="90D4B8A4">
      <w:start w:val="1"/>
      <w:numFmt w:val="bullet"/>
      <w:lvlText w:val="▪"/>
      <w:lvlJc w:val="left"/>
      <w:pPr>
        <w:ind w:left="4887" w:hanging="360"/>
      </w:pPr>
      <w:rPr>
        <w:rFonts w:ascii="noto sans symbols" w:eastAsia="noto sans symbols" w:hAnsi="noto sans symbols" w:cs="noto sans symbols"/>
      </w:rPr>
    </w:lvl>
    <w:lvl w:ilvl="6" w:tplc="081C8660">
      <w:start w:val="1"/>
      <w:numFmt w:val="bullet"/>
      <w:lvlText w:val="●"/>
      <w:lvlJc w:val="left"/>
      <w:pPr>
        <w:ind w:left="5607" w:hanging="360"/>
      </w:pPr>
      <w:rPr>
        <w:rFonts w:ascii="noto sans symbols" w:eastAsia="noto sans symbols" w:hAnsi="noto sans symbols" w:cs="noto sans symbols"/>
      </w:rPr>
    </w:lvl>
    <w:lvl w:ilvl="7" w:tplc="9CFCF514">
      <w:start w:val="1"/>
      <w:numFmt w:val="bullet"/>
      <w:lvlText w:val="o"/>
      <w:lvlJc w:val="left"/>
      <w:pPr>
        <w:ind w:left="6327" w:hanging="360"/>
      </w:pPr>
      <w:rPr>
        <w:rFonts w:ascii="Courier New" w:eastAsia="Courier New" w:hAnsi="Courier New" w:cs="Courier New"/>
      </w:rPr>
    </w:lvl>
    <w:lvl w:ilvl="8" w:tplc="9D703F64">
      <w:start w:val="1"/>
      <w:numFmt w:val="bullet"/>
      <w:lvlText w:val="▪"/>
      <w:lvlJc w:val="left"/>
      <w:pPr>
        <w:ind w:left="7047" w:hanging="360"/>
      </w:pPr>
      <w:rPr>
        <w:rFonts w:ascii="noto sans symbols" w:eastAsia="noto sans symbols" w:hAnsi="noto sans symbols" w:cs="noto sans symbols"/>
      </w:rPr>
    </w:lvl>
  </w:abstractNum>
  <w:abstractNum w:abstractNumId="4">
    <w:nsid w:val="178C040A"/>
    <w:multiLevelType w:val="hybridMultilevel"/>
    <w:tmpl w:val="3768FCCE"/>
    <w:lvl w:ilvl="0" w:tplc="20164CE4">
      <w:start w:val="1"/>
      <w:numFmt w:val="bullet"/>
      <w:lvlText w:val=""/>
      <w:lvlJc w:val="left"/>
      <w:pPr>
        <w:ind w:left="720" w:hanging="360"/>
      </w:pPr>
      <w:rPr>
        <w:rFonts w:ascii="Symbol" w:hAnsi="Symbol" w:hint="default"/>
      </w:rPr>
    </w:lvl>
    <w:lvl w:ilvl="1" w:tplc="3C58535C">
      <w:start w:val="1"/>
      <w:numFmt w:val="bullet"/>
      <w:lvlText w:val="o"/>
      <w:lvlJc w:val="left"/>
      <w:pPr>
        <w:ind w:left="1440" w:hanging="360"/>
      </w:pPr>
      <w:rPr>
        <w:rFonts w:ascii="Courier New" w:hAnsi="Courier New" w:cs="Courier New" w:hint="default"/>
      </w:rPr>
    </w:lvl>
    <w:lvl w:ilvl="2" w:tplc="6694A802">
      <w:start w:val="1"/>
      <w:numFmt w:val="bullet"/>
      <w:lvlText w:val=""/>
      <w:lvlJc w:val="left"/>
      <w:pPr>
        <w:ind w:left="2160" w:hanging="360"/>
      </w:pPr>
      <w:rPr>
        <w:rFonts w:ascii="Wingdings" w:hAnsi="Wingdings" w:hint="default"/>
      </w:rPr>
    </w:lvl>
    <w:lvl w:ilvl="3" w:tplc="045EE528">
      <w:start w:val="1"/>
      <w:numFmt w:val="bullet"/>
      <w:lvlText w:val=""/>
      <w:lvlJc w:val="left"/>
      <w:pPr>
        <w:ind w:left="2880" w:hanging="360"/>
      </w:pPr>
      <w:rPr>
        <w:rFonts w:ascii="Symbol" w:hAnsi="Symbol" w:hint="default"/>
      </w:rPr>
    </w:lvl>
    <w:lvl w:ilvl="4" w:tplc="F36E5E6A">
      <w:start w:val="1"/>
      <w:numFmt w:val="bullet"/>
      <w:lvlText w:val="o"/>
      <w:lvlJc w:val="left"/>
      <w:pPr>
        <w:ind w:left="3600" w:hanging="360"/>
      </w:pPr>
      <w:rPr>
        <w:rFonts w:ascii="Courier New" w:hAnsi="Courier New" w:cs="Courier New" w:hint="default"/>
      </w:rPr>
    </w:lvl>
    <w:lvl w:ilvl="5" w:tplc="76D8ACF0">
      <w:start w:val="1"/>
      <w:numFmt w:val="bullet"/>
      <w:lvlText w:val=""/>
      <w:lvlJc w:val="left"/>
      <w:pPr>
        <w:ind w:left="4320" w:hanging="360"/>
      </w:pPr>
      <w:rPr>
        <w:rFonts w:ascii="Wingdings" w:hAnsi="Wingdings" w:hint="default"/>
      </w:rPr>
    </w:lvl>
    <w:lvl w:ilvl="6" w:tplc="E962E1C4">
      <w:start w:val="1"/>
      <w:numFmt w:val="bullet"/>
      <w:lvlText w:val=""/>
      <w:lvlJc w:val="left"/>
      <w:pPr>
        <w:ind w:left="5040" w:hanging="360"/>
      </w:pPr>
      <w:rPr>
        <w:rFonts w:ascii="Symbol" w:hAnsi="Symbol" w:hint="default"/>
      </w:rPr>
    </w:lvl>
    <w:lvl w:ilvl="7" w:tplc="CC2E83E8">
      <w:start w:val="1"/>
      <w:numFmt w:val="bullet"/>
      <w:lvlText w:val="o"/>
      <w:lvlJc w:val="left"/>
      <w:pPr>
        <w:ind w:left="5760" w:hanging="360"/>
      </w:pPr>
      <w:rPr>
        <w:rFonts w:ascii="Courier New" w:hAnsi="Courier New" w:cs="Courier New" w:hint="default"/>
      </w:rPr>
    </w:lvl>
    <w:lvl w:ilvl="8" w:tplc="D2BCFAB6">
      <w:start w:val="1"/>
      <w:numFmt w:val="bullet"/>
      <w:lvlText w:val=""/>
      <w:lvlJc w:val="left"/>
      <w:pPr>
        <w:ind w:left="6480" w:hanging="360"/>
      </w:pPr>
      <w:rPr>
        <w:rFonts w:ascii="Wingdings" w:hAnsi="Wingdings" w:hint="default"/>
      </w:rPr>
    </w:lvl>
  </w:abstractNum>
  <w:abstractNum w:abstractNumId="5">
    <w:nsid w:val="18731A96"/>
    <w:multiLevelType w:val="hybridMultilevel"/>
    <w:tmpl w:val="2FF8C012"/>
    <w:lvl w:ilvl="0" w:tplc="28B06F9E">
      <w:start w:val="1"/>
      <w:numFmt w:val="bullet"/>
      <w:lvlText w:val=""/>
      <w:lvlJc w:val="left"/>
      <w:pPr>
        <w:ind w:left="720" w:hanging="360"/>
      </w:pPr>
      <w:rPr>
        <w:rFonts w:ascii="Symbol" w:hAnsi="Symbol" w:hint="default"/>
      </w:rPr>
    </w:lvl>
    <w:lvl w:ilvl="1" w:tplc="807C965C">
      <w:start w:val="1"/>
      <w:numFmt w:val="bullet"/>
      <w:lvlText w:val="o"/>
      <w:lvlJc w:val="left"/>
      <w:pPr>
        <w:ind w:left="1440" w:hanging="360"/>
      </w:pPr>
      <w:rPr>
        <w:rFonts w:ascii="Courier New" w:hAnsi="Courier New" w:cs="Courier New" w:hint="default"/>
      </w:rPr>
    </w:lvl>
    <w:lvl w:ilvl="2" w:tplc="B6B23DBC">
      <w:start w:val="1"/>
      <w:numFmt w:val="bullet"/>
      <w:lvlText w:val=""/>
      <w:lvlJc w:val="left"/>
      <w:pPr>
        <w:ind w:left="2160" w:hanging="360"/>
      </w:pPr>
      <w:rPr>
        <w:rFonts w:ascii="Wingdings" w:hAnsi="Wingdings" w:hint="default"/>
      </w:rPr>
    </w:lvl>
    <w:lvl w:ilvl="3" w:tplc="E432EDBE">
      <w:start w:val="1"/>
      <w:numFmt w:val="bullet"/>
      <w:lvlText w:val=""/>
      <w:lvlJc w:val="left"/>
      <w:pPr>
        <w:ind w:left="2880" w:hanging="360"/>
      </w:pPr>
      <w:rPr>
        <w:rFonts w:ascii="Symbol" w:hAnsi="Symbol" w:hint="default"/>
      </w:rPr>
    </w:lvl>
    <w:lvl w:ilvl="4" w:tplc="21AC34B8">
      <w:start w:val="1"/>
      <w:numFmt w:val="bullet"/>
      <w:lvlText w:val="o"/>
      <w:lvlJc w:val="left"/>
      <w:pPr>
        <w:ind w:left="3600" w:hanging="360"/>
      </w:pPr>
      <w:rPr>
        <w:rFonts w:ascii="Courier New" w:hAnsi="Courier New" w:cs="Courier New" w:hint="default"/>
      </w:rPr>
    </w:lvl>
    <w:lvl w:ilvl="5" w:tplc="F3DE31AA">
      <w:start w:val="1"/>
      <w:numFmt w:val="bullet"/>
      <w:lvlText w:val=""/>
      <w:lvlJc w:val="left"/>
      <w:pPr>
        <w:ind w:left="4320" w:hanging="360"/>
      </w:pPr>
      <w:rPr>
        <w:rFonts w:ascii="Wingdings" w:hAnsi="Wingdings" w:hint="default"/>
      </w:rPr>
    </w:lvl>
    <w:lvl w:ilvl="6" w:tplc="AD8E9A90">
      <w:start w:val="1"/>
      <w:numFmt w:val="bullet"/>
      <w:lvlText w:val=""/>
      <w:lvlJc w:val="left"/>
      <w:pPr>
        <w:ind w:left="5040" w:hanging="360"/>
      </w:pPr>
      <w:rPr>
        <w:rFonts w:ascii="Symbol" w:hAnsi="Symbol" w:hint="default"/>
      </w:rPr>
    </w:lvl>
    <w:lvl w:ilvl="7" w:tplc="F2A8B26A">
      <w:start w:val="1"/>
      <w:numFmt w:val="bullet"/>
      <w:lvlText w:val="o"/>
      <w:lvlJc w:val="left"/>
      <w:pPr>
        <w:ind w:left="5760" w:hanging="360"/>
      </w:pPr>
      <w:rPr>
        <w:rFonts w:ascii="Courier New" w:hAnsi="Courier New" w:cs="Courier New" w:hint="default"/>
      </w:rPr>
    </w:lvl>
    <w:lvl w:ilvl="8" w:tplc="226CFB26">
      <w:start w:val="1"/>
      <w:numFmt w:val="bullet"/>
      <w:lvlText w:val=""/>
      <w:lvlJc w:val="left"/>
      <w:pPr>
        <w:ind w:left="6480" w:hanging="360"/>
      </w:pPr>
      <w:rPr>
        <w:rFonts w:ascii="Wingdings" w:hAnsi="Wingdings" w:hint="default"/>
      </w:rPr>
    </w:lvl>
  </w:abstractNum>
  <w:abstractNum w:abstractNumId="6">
    <w:nsid w:val="18897230"/>
    <w:multiLevelType w:val="hybridMultilevel"/>
    <w:tmpl w:val="B5447ADC"/>
    <w:lvl w:ilvl="0" w:tplc="B8701334">
      <w:start w:val="1"/>
      <w:numFmt w:val="bullet"/>
      <w:lvlText w:val=""/>
      <w:lvlJc w:val="left"/>
      <w:pPr>
        <w:ind w:left="720" w:hanging="360"/>
      </w:pPr>
      <w:rPr>
        <w:rFonts w:ascii="Symbol" w:hAnsi="Symbol" w:hint="default"/>
      </w:rPr>
    </w:lvl>
    <w:lvl w:ilvl="1" w:tplc="32241780">
      <w:start w:val="1"/>
      <w:numFmt w:val="bullet"/>
      <w:lvlText w:val="o"/>
      <w:lvlJc w:val="left"/>
      <w:pPr>
        <w:ind w:left="1440" w:hanging="360"/>
      </w:pPr>
      <w:rPr>
        <w:rFonts w:ascii="Courier New" w:hAnsi="Courier New" w:cs="Courier New" w:hint="default"/>
      </w:rPr>
    </w:lvl>
    <w:lvl w:ilvl="2" w:tplc="D00C002E">
      <w:start w:val="1"/>
      <w:numFmt w:val="bullet"/>
      <w:lvlText w:val=""/>
      <w:lvlJc w:val="left"/>
      <w:pPr>
        <w:ind w:left="2160" w:hanging="360"/>
      </w:pPr>
      <w:rPr>
        <w:rFonts w:ascii="Wingdings" w:hAnsi="Wingdings" w:hint="default"/>
      </w:rPr>
    </w:lvl>
    <w:lvl w:ilvl="3" w:tplc="44F83D56">
      <w:start w:val="1"/>
      <w:numFmt w:val="bullet"/>
      <w:lvlText w:val=""/>
      <w:lvlJc w:val="left"/>
      <w:pPr>
        <w:ind w:left="2880" w:hanging="360"/>
      </w:pPr>
      <w:rPr>
        <w:rFonts w:ascii="Symbol" w:hAnsi="Symbol" w:hint="default"/>
      </w:rPr>
    </w:lvl>
    <w:lvl w:ilvl="4" w:tplc="6FBAB984">
      <w:start w:val="1"/>
      <w:numFmt w:val="bullet"/>
      <w:lvlText w:val="o"/>
      <w:lvlJc w:val="left"/>
      <w:pPr>
        <w:ind w:left="3600" w:hanging="360"/>
      </w:pPr>
      <w:rPr>
        <w:rFonts w:ascii="Courier New" w:hAnsi="Courier New" w:cs="Courier New" w:hint="default"/>
      </w:rPr>
    </w:lvl>
    <w:lvl w:ilvl="5" w:tplc="75361D5C">
      <w:start w:val="1"/>
      <w:numFmt w:val="bullet"/>
      <w:lvlText w:val=""/>
      <w:lvlJc w:val="left"/>
      <w:pPr>
        <w:ind w:left="4320" w:hanging="360"/>
      </w:pPr>
      <w:rPr>
        <w:rFonts w:ascii="Wingdings" w:hAnsi="Wingdings" w:hint="default"/>
      </w:rPr>
    </w:lvl>
    <w:lvl w:ilvl="6" w:tplc="9AF67E9C">
      <w:start w:val="1"/>
      <w:numFmt w:val="bullet"/>
      <w:lvlText w:val=""/>
      <w:lvlJc w:val="left"/>
      <w:pPr>
        <w:ind w:left="5040" w:hanging="360"/>
      </w:pPr>
      <w:rPr>
        <w:rFonts w:ascii="Symbol" w:hAnsi="Symbol" w:hint="default"/>
      </w:rPr>
    </w:lvl>
    <w:lvl w:ilvl="7" w:tplc="C93A306E">
      <w:start w:val="1"/>
      <w:numFmt w:val="bullet"/>
      <w:lvlText w:val="o"/>
      <w:lvlJc w:val="left"/>
      <w:pPr>
        <w:ind w:left="5760" w:hanging="360"/>
      </w:pPr>
      <w:rPr>
        <w:rFonts w:ascii="Courier New" w:hAnsi="Courier New" w:cs="Courier New" w:hint="default"/>
      </w:rPr>
    </w:lvl>
    <w:lvl w:ilvl="8" w:tplc="43766942">
      <w:start w:val="1"/>
      <w:numFmt w:val="bullet"/>
      <w:lvlText w:val=""/>
      <w:lvlJc w:val="left"/>
      <w:pPr>
        <w:ind w:left="6480" w:hanging="360"/>
      </w:pPr>
      <w:rPr>
        <w:rFonts w:ascii="Wingdings" w:hAnsi="Wingdings" w:hint="default"/>
      </w:rPr>
    </w:lvl>
  </w:abstractNum>
  <w:abstractNum w:abstractNumId="7">
    <w:nsid w:val="1C8E2E31"/>
    <w:multiLevelType w:val="hybridMultilevel"/>
    <w:tmpl w:val="99F02D84"/>
    <w:lvl w:ilvl="0" w:tplc="6C00A094">
      <w:start w:val="1"/>
      <w:numFmt w:val="decimal"/>
      <w:lvlText w:val="1.%1"/>
      <w:lvlJc w:val="left"/>
      <w:pPr>
        <w:ind w:left="720" w:hanging="360"/>
      </w:pPr>
      <w:rPr>
        <w:rFonts w:hint="default"/>
      </w:rPr>
    </w:lvl>
    <w:lvl w:ilvl="1" w:tplc="FAAE8DEA">
      <w:start w:val="1"/>
      <w:numFmt w:val="lowerLetter"/>
      <w:lvlText w:val="%2."/>
      <w:lvlJc w:val="left"/>
      <w:pPr>
        <w:ind w:left="1440" w:hanging="360"/>
      </w:pPr>
    </w:lvl>
    <w:lvl w:ilvl="2" w:tplc="DDEE800A">
      <w:start w:val="1"/>
      <w:numFmt w:val="lowerRoman"/>
      <w:lvlText w:val="%3."/>
      <w:lvlJc w:val="right"/>
      <w:pPr>
        <w:ind w:left="2160" w:hanging="180"/>
      </w:pPr>
    </w:lvl>
    <w:lvl w:ilvl="3" w:tplc="7DD27CF6">
      <w:start w:val="1"/>
      <w:numFmt w:val="decimal"/>
      <w:lvlText w:val="%4."/>
      <w:lvlJc w:val="left"/>
      <w:pPr>
        <w:ind w:left="2880" w:hanging="360"/>
      </w:pPr>
    </w:lvl>
    <w:lvl w:ilvl="4" w:tplc="717C3656">
      <w:start w:val="1"/>
      <w:numFmt w:val="lowerLetter"/>
      <w:lvlText w:val="%5."/>
      <w:lvlJc w:val="left"/>
      <w:pPr>
        <w:ind w:left="3600" w:hanging="360"/>
      </w:pPr>
    </w:lvl>
    <w:lvl w:ilvl="5" w:tplc="CA26BA4E">
      <w:start w:val="1"/>
      <w:numFmt w:val="lowerRoman"/>
      <w:lvlText w:val="%6."/>
      <w:lvlJc w:val="right"/>
      <w:pPr>
        <w:ind w:left="4320" w:hanging="180"/>
      </w:pPr>
    </w:lvl>
    <w:lvl w:ilvl="6" w:tplc="F438B604">
      <w:start w:val="1"/>
      <w:numFmt w:val="decimal"/>
      <w:lvlText w:val="%7."/>
      <w:lvlJc w:val="left"/>
      <w:pPr>
        <w:ind w:left="5040" w:hanging="360"/>
      </w:pPr>
    </w:lvl>
    <w:lvl w:ilvl="7" w:tplc="3A8454F6">
      <w:start w:val="1"/>
      <w:numFmt w:val="lowerLetter"/>
      <w:lvlText w:val="%8."/>
      <w:lvlJc w:val="left"/>
      <w:pPr>
        <w:ind w:left="5760" w:hanging="360"/>
      </w:pPr>
    </w:lvl>
    <w:lvl w:ilvl="8" w:tplc="D38646CA">
      <w:start w:val="1"/>
      <w:numFmt w:val="lowerRoman"/>
      <w:lvlText w:val="%9."/>
      <w:lvlJc w:val="right"/>
      <w:pPr>
        <w:ind w:left="6480" w:hanging="180"/>
      </w:pPr>
    </w:lvl>
  </w:abstractNum>
  <w:abstractNum w:abstractNumId="8">
    <w:nsid w:val="23B6379B"/>
    <w:multiLevelType w:val="hybridMultilevel"/>
    <w:tmpl w:val="E072F7C2"/>
    <w:lvl w:ilvl="0" w:tplc="864A4C3C">
      <w:start w:val="1"/>
      <w:numFmt w:val="bullet"/>
      <w:lvlText w:val=""/>
      <w:lvlJc w:val="left"/>
      <w:pPr>
        <w:ind w:left="1429" w:hanging="360"/>
      </w:pPr>
      <w:rPr>
        <w:rFonts w:ascii="Wingdings" w:hAnsi="Wingdings" w:hint="default"/>
      </w:rPr>
    </w:lvl>
    <w:lvl w:ilvl="1" w:tplc="025CC338">
      <w:start w:val="1"/>
      <w:numFmt w:val="bullet"/>
      <w:lvlText w:val="o"/>
      <w:lvlJc w:val="left"/>
      <w:pPr>
        <w:ind w:left="2149" w:hanging="360"/>
      </w:pPr>
      <w:rPr>
        <w:rFonts w:ascii="Courier New" w:hAnsi="Courier New" w:cs="Courier New" w:hint="default"/>
      </w:rPr>
    </w:lvl>
    <w:lvl w:ilvl="2" w:tplc="B00AF206">
      <w:start w:val="1"/>
      <w:numFmt w:val="bullet"/>
      <w:lvlText w:val=""/>
      <w:lvlJc w:val="left"/>
      <w:pPr>
        <w:ind w:left="2869" w:hanging="360"/>
      </w:pPr>
      <w:rPr>
        <w:rFonts w:ascii="Wingdings" w:hAnsi="Wingdings" w:hint="default"/>
      </w:rPr>
    </w:lvl>
    <w:lvl w:ilvl="3" w:tplc="843EB2C2">
      <w:start w:val="1"/>
      <w:numFmt w:val="bullet"/>
      <w:lvlText w:val=""/>
      <w:lvlJc w:val="left"/>
      <w:pPr>
        <w:ind w:left="3589" w:hanging="360"/>
      </w:pPr>
      <w:rPr>
        <w:rFonts w:ascii="Symbol" w:hAnsi="Symbol" w:hint="default"/>
      </w:rPr>
    </w:lvl>
    <w:lvl w:ilvl="4" w:tplc="651A2848">
      <w:start w:val="1"/>
      <w:numFmt w:val="bullet"/>
      <w:lvlText w:val="o"/>
      <w:lvlJc w:val="left"/>
      <w:pPr>
        <w:ind w:left="4309" w:hanging="360"/>
      </w:pPr>
      <w:rPr>
        <w:rFonts w:ascii="Courier New" w:hAnsi="Courier New" w:cs="Courier New" w:hint="default"/>
      </w:rPr>
    </w:lvl>
    <w:lvl w:ilvl="5" w:tplc="C64E3A78">
      <w:start w:val="1"/>
      <w:numFmt w:val="bullet"/>
      <w:lvlText w:val=""/>
      <w:lvlJc w:val="left"/>
      <w:pPr>
        <w:ind w:left="5029" w:hanging="360"/>
      </w:pPr>
      <w:rPr>
        <w:rFonts w:ascii="Wingdings" w:hAnsi="Wingdings" w:hint="default"/>
      </w:rPr>
    </w:lvl>
    <w:lvl w:ilvl="6" w:tplc="83F60418">
      <w:start w:val="1"/>
      <w:numFmt w:val="bullet"/>
      <w:lvlText w:val=""/>
      <w:lvlJc w:val="left"/>
      <w:pPr>
        <w:ind w:left="5749" w:hanging="360"/>
      </w:pPr>
      <w:rPr>
        <w:rFonts w:ascii="Symbol" w:hAnsi="Symbol" w:hint="default"/>
      </w:rPr>
    </w:lvl>
    <w:lvl w:ilvl="7" w:tplc="774E730C">
      <w:start w:val="1"/>
      <w:numFmt w:val="bullet"/>
      <w:lvlText w:val="o"/>
      <w:lvlJc w:val="left"/>
      <w:pPr>
        <w:ind w:left="6469" w:hanging="360"/>
      </w:pPr>
      <w:rPr>
        <w:rFonts w:ascii="Courier New" w:hAnsi="Courier New" w:cs="Courier New" w:hint="default"/>
      </w:rPr>
    </w:lvl>
    <w:lvl w:ilvl="8" w:tplc="360CC7CE">
      <w:start w:val="1"/>
      <w:numFmt w:val="bullet"/>
      <w:lvlText w:val=""/>
      <w:lvlJc w:val="left"/>
      <w:pPr>
        <w:ind w:left="7189" w:hanging="360"/>
      </w:pPr>
      <w:rPr>
        <w:rFonts w:ascii="Wingdings" w:hAnsi="Wingdings" w:hint="default"/>
      </w:rPr>
    </w:lvl>
  </w:abstractNum>
  <w:abstractNum w:abstractNumId="9">
    <w:nsid w:val="27D12F37"/>
    <w:multiLevelType w:val="hybridMultilevel"/>
    <w:tmpl w:val="0756BF70"/>
    <w:lvl w:ilvl="0" w:tplc="CBB4398E">
      <w:start w:val="1"/>
      <w:numFmt w:val="decimal"/>
      <w:lvlText w:val="2.%1"/>
      <w:lvlJc w:val="left"/>
      <w:pPr>
        <w:ind w:left="720" w:hanging="360"/>
      </w:pPr>
      <w:rPr>
        <w:rFonts w:hint="default"/>
      </w:rPr>
    </w:lvl>
    <w:lvl w:ilvl="1" w:tplc="6ABE9028">
      <w:start w:val="1"/>
      <w:numFmt w:val="lowerLetter"/>
      <w:lvlText w:val="%2."/>
      <w:lvlJc w:val="left"/>
      <w:pPr>
        <w:ind w:left="1440" w:hanging="360"/>
      </w:pPr>
    </w:lvl>
    <w:lvl w:ilvl="2" w:tplc="EAF0935A">
      <w:start w:val="1"/>
      <w:numFmt w:val="lowerRoman"/>
      <w:lvlText w:val="%3."/>
      <w:lvlJc w:val="right"/>
      <w:pPr>
        <w:ind w:left="2160" w:hanging="180"/>
      </w:pPr>
    </w:lvl>
    <w:lvl w:ilvl="3" w:tplc="6C82368C">
      <w:start w:val="1"/>
      <w:numFmt w:val="decimal"/>
      <w:lvlText w:val="%4."/>
      <w:lvlJc w:val="left"/>
      <w:pPr>
        <w:ind w:left="2880" w:hanging="360"/>
      </w:pPr>
    </w:lvl>
    <w:lvl w:ilvl="4" w:tplc="239A2BAE">
      <w:start w:val="1"/>
      <w:numFmt w:val="lowerLetter"/>
      <w:lvlText w:val="%5."/>
      <w:lvlJc w:val="left"/>
      <w:pPr>
        <w:ind w:left="3600" w:hanging="360"/>
      </w:pPr>
    </w:lvl>
    <w:lvl w:ilvl="5" w:tplc="F93AB09E">
      <w:start w:val="1"/>
      <w:numFmt w:val="lowerRoman"/>
      <w:lvlText w:val="%6."/>
      <w:lvlJc w:val="right"/>
      <w:pPr>
        <w:ind w:left="4320" w:hanging="180"/>
      </w:pPr>
    </w:lvl>
    <w:lvl w:ilvl="6" w:tplc="54A23E4A">
      <w:start w:val="1"/>
      <w:numFmt w:val="decimal"/>
      <w:lvlText w:val="%7."/>
      <w:lvlJc w:val="left"/>
      <w:pPr>
        <w:ind w:left="5040" w:hanging="360"/>
      </w:pPr>
    </w:lvl>
    <w:lvl w:ilvl="7" w:tplc="0D04B9E4">
      <w:start w:val="1"/>
      <w:numFmt w:val="lowerLetter"/>
      <w:lvlText w:val="%8."/>
      <w:lvlJc w:val="left"/>
      <w:pPr>
        <w:ind w:left="5760" w:hanging="360"/>
      </w:pPr>
    </w:lvl>
    <w:lvl w:ilvl="8" w:tplc="E73A1EC8">
      <w:start w:val="1"/>
      <w:numFmt w:val="lowerRoman"/>
      <w:lvlText w:val="%9."/>
      <w:lvlJc w:val="right"/>
      <w:pPr>
        <w:ind w:left="6480" w:hanging="180"/>
      </w:pPr>
    </w:lvl>
  </w:abstractNum>
  <w:abstractNum w:abstractNumId="10">
    <w:nsid w:val="288E0745"/>
    <w:multiLevelType w:val="multilevel"/>
    <w:tmpl w:val="8E9C602E"/>
    <w:lvl w:ilvl="0">
      <w:start w:val="1"/>
      <w:numFmt w:val="decimal"/>
      <w:pStyle w:val="ArHead1"/>
      <w:lvlText w:val="%1."/>
      <w:lvlJc w:val="left"/>
      <w:pPr>
        <w:tabs>
          <w:tab w:val="num" w:pos="0"/>
        </w:tabs>
        <w:ind w:left="284" w:hanging="284"/>
      </w:pPr>
      <w:rPr>
        <w:rFonts w:hint="default"/>
      </w:rPr>
    </w:lvl>
    <w:lvl w:ilvl="1">
      <w:start w:val="1"/>
      <w:numFmt w:val="decimal"/>
      <w:pStyle w:val="ArHead2"/>
      <w:lvlText w:val="%1.%2."/>
      <w:lvlJc w:val="left"/>
      <w:pPr>
        <w:tabs>
          <w:tab w:val="num" w:pos="340"/>
        </w:tabs>
        <w:ind w:left="0" w:firstLine="0"/>
      </w:pPr>
      <w:rPr>
        <w:rFonts w:hint="default"/>
      </w:rPr>
    </w:lvl>
    <w:lvl w:ilvl="2">
      <w:start w:val="1"/>
      <w:numFmt w:val="decimal"/>
      <w:pStyle w:val="ArHead3"/>
      <w:lvlText w:val="%1.%2.%3."/>
      <w:lvlJc w:val="left"/>
      <w:pPr>
        <w:tabs>
          <w:tab w:val="num" w:pos="851"/>
        </w:tabs>
        <w:ind w:left="0" w:firstLine="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3339582A"/>
    <w:multiLevelType w:val="hybridMultilevel"/>
    <w:tmpl w:val="0688FA72"/>
    <w:lvl w:ilvl="0" w:tplc="8952726A">
      <w:start w:val="1"/>
      <w:numFmt w:val="bullet"/>
      <w:lvlText w:val=""/>
      <w:lvlJc w:val="left"/>
      <w:pPr>
        <w:ind w:left="720" w:hanging="360"/>
      </w:pPr>
      <w:rPr>
        <w:rFonts w:ascii="Symbol" w:hAnsi="Symbol" w:hint="default"/>
      </w:rPr>
    </w:lvl>
    <w:lvl w:ilvl="1" w:tplc="D2BC1A88">
      <w:start w:val="1"/>
      <w:numFmt w:val="bullet"/>
      <w:lvlText w:val="o"/>
      <w:lvlJc w:val="left"/>
      <w:pPr>
        <w:ind w:left="1440" w:hanging="360"/>
      </w:pPr>
      <w:rPr>
        <w:rFonts w:ascii="Courier New" w:hAnsi="Courier New" w:cs="Courier New" w:hint="default"/>
      </w:rPr>
    </w:lvl>
    <w:lvl w:ilvl="2" w:tplc="5292FD00">
      <w:start w:val="1"/>
      <w:numFmt w:val="bullet"/>
      <w:lvlText w:val=""/>
      <w:lvlJc w:val="left"/>
      <w:pPr>
        <w:ind w:left="2160" w:hanging="360"/>
      </w:pPr>
      <w:rPr>
        <w:rFonts w:ascii="Wingdings" w:hAnsi="Wingdings" w:hint="default"/>
      </w:rPr>
    </w:lvl>
    <w:lvl w:ilvl="3" w:tplc="AD3EA790">
      <w:start w:val="1"/>
      <w:numFmt w:val="bullet"/>
      <w:lvlText w:val=""/>
      <w:lvlJc w:val="left"/>
      <w:pPr>
        <w:ind w:left="2880" w:hanging="360"/>
      </w:pPr>
      <w:rPr>
        <w:rFonts w:ascii="Symbol" w:hAnsi="Symbol" w:hint="default"/>
      </w:rPr>
    </w:lvl>
    <w:lvl w:ilvl="4" w:tplc="D37E0914">
      <w:start w:val="1"/>
      <w:numFmt w:val="bullet"/>
      <w:lvlText w:val="o"/>
      <w:lvlJc w:val="left"/>
      <w:pPr>
        <w:ind w:left="3600" w:hanging="360"/>
      </w:pPr>
      <w:rPr>
        <w:rFonts w:ascii="Courier New" w:hAnsi="Courier New" w:cs="Courier New" w:hint="default"/>
      </w:rPr>
    </w:lvl>
    <w:lvl w:ilvl="5" w:tplc="84923B74">
      <w:start w:val="1"/>
      <w:numFmt w:val="bullet"/>
      <w:lvlText w:val=""/>
      <w:lvlJc w:val="left"/>
      <w:pPr>
        <w:ind w:left="4320" w:hanging="360"/>
      </w:pPr>
      <w:rPr>
        <w:rFonts w:ascii="Wingdings" w:hAnsi="Wingdings" w:hint="default"/>
      </w:rPr>
    </w:lvl>
    <w:lvl w:ilvl="6" w:tplc="40DECECE">
      <w:start w:val="1"/>
      <w:numFmt w:val="bullet"/>
      <w:lvlText w:val=""/>
      <w:lvlJc w:val="left"/>
      <w:pPr>
        <w:ind w:left="5040" w:hanging="360"/>
      </w:pPr>
      <w:rPr>
        <w:rFonts w:ascii="Symbol" w:hAnsi="Symbol" w:hint="default"/>
      </w:rPr>
    </w:lvl>
    <w:lvl w:ilvl="7" w:tplc="52225E5E">
      <w:start w:val="1"/>
      <w:numFmt w:val="bullet"/>
      <w:lvlText w:val="o"/>
      <w:lvlJc w:val="left"/>
      <w:pPr>
        <w:ind w:left="5760" w:hanging="360"/>
      </w:pPr>
      <w:rPr>
        <w:rFonts w:ascii="Courier New" w:hAnsi="Courier New" w:cs="Courier New" w:hint="default"/>
      </w:rPr>
    </w:lvl>
    <w:lvl w:ilvl="8" w:tplc="D1986026">
      <w:start w:val="1"/>
      <w:numFmt w:val="bullet"/>
      <w:lvlText w:val=""/>
      <w:lvlJc w:val="left"/>
      <w:pPr>
        <w:ind w:left="6480" w:hanging="360"/>
      </w:pPr>
      <w:rPr>
        <w:rFonts w:ascii="Wingdings" w:hAnsi="Wingdings" w:hint="default"/>
      </w:rPr>
    </w:lvl>
  </w:abstractNum>
  <w:abstractNum w:abstractNumId="12">
    <w:nsid w:val="36D07E93"/>
    <w:multiLevelType w:val="hybridMultilevel"/>
    <w:tmpl w:val="281E7B38"/>
    <w:lvl w:ilvl="0" w:tplc="A3CA25D8">
      <w:start w:val="1"/>
      <w:numFmt w:val="decimal"/>
      <w:lvlText w:val="%1."/>
      <w:lvlJc w:val="left"/>
      <w:pPr>
        <w:ind w:left="720" w:hanging="360"/>
      </w:pPr>
      <w:rPr>
        <w:rFonts w:hint="default"/>
      </w:rPr>
    </w:lvl>
    <w:lvl w:ilvl="1" w:tplc="50FAD946">
      <w:start w:val="1"/>
      <w:numFmt w:val="lowerLetter"/>
      <w:lvlText w:val="%2."/>
      <w:lvlJc w:val="left"/>
      <w:pPr>
        <w:ind w:left="1440" w:hanging="360"/>
      </w:pPr>
    </w:lvl>
    <w:lvl w:ilvl="2" w:tplc="121AAF9A">
      <w:start w:val="1"/>
      <w:numFmt w:val="lowerRoman"/>
      <w:lvlText w:val="%3."/>
      <w:lvlJc w:val="right"/>
      <w:pPr>
        <w:ind w:left="2160" w:hanging="180"/>
      </w:pPr>
    </w:lvl>
    <w:lvl w:ilvl="3" w:tplc="39E0D620">
      <w:start w:val="1"/>
      <w:numFmt w:val="decimal"/>
      <w:lvlText w:val="%4."/>
      <w:lvlJc w:val="left"/>
      <w:pPr>
        <w:ind w:left="2880" w:hanging="360"/>
      </w:pPr>
    </w:lvl>
    <w:lvl w:ilvl="4" w:tplc="083430D0">
      <w:start w:val="1"/>
      <w:numFmt w:val="lowerLetter"/>
      <w:lvlText w:val="%5."/>
      <w:lvlJc w:val="left"/>
      <w:pPr>
        <w:ind w:left="3600" w:hanging="360"/>
      </w:pPr>
    </w:lvl>
    <w:lvl w:ilvl="5" w:tplc="E9B8E0C2">
      <w:start w:val="1"/>
      <w:numFmt w:val="lowerRoman"/>
      <w:lvlText w:val="%6."/>
      <w:lvlJc w:val="right"/>
      <w:pPr>
        <w:ind w:left="4320" w:hanging="180"/>
      </w:pPr>
    </w:lvl>
    <w:lvl w:ilvl="6" w:tplc="33DA8EE0">
      <w:start w:val="1"/>
      <w:numFmt w:val="decimal"/>
      <w:lvlText w:val="%7."/>
      <w:lvlJc w:val="left"/>
      <w:pPr>
        <w:ind w:left="5040" w:hanging="360"/>
      </w:pPr>
    </w:lvl>
    <w:lvl w:ilvl="7" w:tplc="B7C0B960">
      <w:start w:val="1"/>
      <w:numFmt w:val="lowerLetter"/>
      <w:lvlText w:val="%8."/>
      <w:lvlJc w:val="left"/>
      <w:pPr>
        <w:ind w:left="5760" w:hanging="360"/>
      </w:pPr>
    </w:lvl>
    <w:lvl w:ilvl="8" w:tplc="238C283A">
      <w:start w:val="1"/>
      <w:numFmt w:val="lowerRoman"/>
      <w:lvlText w:val="%9."/>
      <w:lvlJc w:val="right"/>
      <w:pPr>
        <w:ind w:left="6480" w:hanging="180"/>
      </w:pPr>
    </w:lvl>
  </w:abstractNum>
  <w:abstractNum w:abstractNumId="13">
    <w:nsid w:val="3AE10F65"/>
    <w:multiLevelType w:val="hybridMultilevel"/>
    <w:tmpl w:val="73D29D3C"/>
    <w:lvl w:ilvl="0" w:tplc="9774E648">
      <w:start w:val="1"/>
      <w:numFmt w:val="decimal"/>
      <w:pStyle w:val="ArPic"/>
      <w:lvlText w:val="Рис. %1."/>
      <w:lvlJc w:val="left"/>
      <w:pPr>
        <w:tabs>
          <w:tab w:val="num" w:pos="0"/>
        </w:tabs>
        <w:ind w:left="720" w:hanging="360"/>
      </w:pPr>
    </w:lvl>
    <w:lvl w:ilvl="1" w:tplc="E592C43C">
      <w:start w:val="1"/>
      <w:numFmt w:val="lowerLetter"/>
      <w:lvlText w:val="%2."/>
      <w:lvlJc w:val="left"/>
      <w:pPr>
        <w:tabs>
          <w:tab w:val="num" w:pos="0"/>
        </w:tabs>
        <w:ind w:left="1440" w:hanging="360"/>
      </w:pPr>
    </w:lvl>
    <w:lvl w:ilvl="2" w:tplc="B282B950">
      <w:start w:val="1"/>
      <w:numFmt w:val="lowerRoman"/>
      <w:lvlText w:val="%3."/>
      <w:lvlJc w:val="right"/>
      <w:pPr>
        <w:tabs>
          <w:tab w:val="num" w:pos="0"/>
        </w:tabs>
        <w:ind w:left="2160" w:hanging="180"/>
      </w:pPr>
    </w:lvl>
    <w:lvl w:ilvl="3" w:tplc="A1301CA6">
      <w:start w:val="1"/>
      <w:numFmt w:val="decimal"/>
      <w:lvlText w:val="%4."/>
      <w:lvlJc w:val="left"/>
      <w:pPr>
        <w:tabs>
          <w:tab w:val="num" w:pos="0"/>
        </w:tabs>
        <w:ind w:left="2880" w:hanging="360"/>
      </w:pPr>
    </w:lvl>
    <w:lvl w:ilvl="4" w:tplc="6D6C6B68">
      <w:start w:val="1"/>
      <w:numFmt w:val="lowerLetter"/>
      <w:lvlText w:val="%5."/>
      <w:lvlJc w:val="left"/>
      <w:pPr>
        <w:tabs>
          <w:tab w:val="num" w:pos="0"/>
        </w:tabs>
        <w:ind w:left="3600" w:hanging="360"/>
      </w:pPr>
    </w:lvl>
    <w:lvl w:ilvl="5" w:tplc="EA7ADB72">
      <w:start w:val="1"/>
      <w:numFmt w:val="lowerRoman"/>
      <w:lvlText w:val="%6."/>
      <w:lvlJc w:val="right"/>
      <w:pPr>
        <w:tabs>
          <w:tab w:val="num" w:pos="0"/>
        </w:tabs>
        <w:ind w:left="4320" w:hanging="180"/>
      </w:pPr>
    </w:lvl>
    <w:lvl w:ilvl="6" w:tplc="5DF4B300">
      <w:start w:val="1"/>
      <w:numFmt w:val="decimal"/>
      <w:lvlText w:val="%7."/>
      <w:lvlJc w:val="left"/>
      <w:pPr>
        <w:tabs>
          <w:tab w:val="num" w:pos="0"/>
        </w:tabs>
        <w:ind w:left="5040" w:hanging="360"/>
      </w:pPr>
    </w:lvl>
    <w:lvl w:ilvl="7" w:tplc="9738CF1A">
      <w:start w:val="1"/>
      <w:numFmt w:val="lowerLetter"/>
      <w:lvlText w:val="%8."/>
      <w:lvlJc w:val="left"/>
      <w:pPr>
        <w:tabs>
          <w:tab w:val="num" w:pos="0"/>
        </w:tabs>
        <w:ind w:left="5760" w:hanging="360"/>
      </w:pPr>
    </w:lvl>
    <w:lvl w:ilvl="8" w:tplc="90E66510">
      <w:start w:val="1"/>
      <w:numFmt w:val="lowerRoman"/>
      <w:lvlText w:val="%9."/>
      <w:lvlJc w:val="right"/>
      <w:pPr>
        <w:tabs>
          <w:tab w:val="num" w:pos="0"/>
        </w:tabs>
        <w:ind w:left="6480" w:hanging="180"/>
      </w:pPr>
    </w:lvl>
  </w:abstractNum>
  <w:abstractNum w:abstractNumId="14">
    <w:nsid w:val="3B3344C6"/>
    <w:multiLevelType w:val="hybridMultilevel"/>
    <w:tmpl w:val="200EFD6A"/>
    <w:lvl w:ilvl="0" w:tplc="6B7A890E">
      <w:start w:val="1"/>
      <w:numFmt w:val="decimal"/>
      <w:pStyle w:val="Artblname"/>
      <w:lvlText w:val="Таблиця. %1."/>
      <w:lvlJc w:val="left"/>
      <w:pPr>
        <w:tabs>
          <w:tab w:val="num" w:pos="0"/>
        </w:tabs>
        <w:ind w:left="502" w:hanging="360"/>
      </w:pPr>
    </w:lvl>
    <w:lvl w:ilvl="1" w:tplc="6DDE59AE">
      <w:start w:val="1"/>
      <w:numFmt w:val="lowerLetter"/>
      <w:lvlText w:val="%2."/>
      <w:lvlJc w:val="left"/>
      <w:pPr>
        <w:tabs>
          <w:tab w:val="num" w:pos="0"/>
        </w:tabs>
        <w:ind w:left="1440" w:hanging="360"/>
      </w:pPr>
    </w:lvl>
    <w:lvl w:ilvl="2" w:tplc="E84C468C">
      <w:start w:val="1"/>
      <w:numFmt w:val="lowerRoman"/>
      <w:lvlText w:val="%3."/>
      <w:lvlJc w:val="right"/>
      <w:pPr>
        <w:tabs>
          <w:tab w:val="num" w:pos="0"/>
        </w:tabs>
        <w:ind w:left="2160" w:hanging="180"/>
      </w:pPr>
    </w:lvl>
    <w:lvl w:ilvl="3" w:tplc="C8AC2B16">
      <w:start w:val="1"/>
      <w:numFmt w:val="decimal"/>
      <w:lvlText w:val="%4."/>
      <w:lvlJc w:val="left"/>
      <w:pPr>
        <w:tabs>
          <w:tab w:val="num" w:pos="0"/>
        </w:tabs>
        <w:ind w:left="2880" w:hanging="360"/>
      </w:pPr>
    </w:lvl>
    <w:lvl w:ilvl="4" w:tplc="47502F78">
      <w:start w:val="1"/>
      <w:numFmt w:val="lowerLetter"/>
      <w:lvlText w:val="%5."/>
      <w:lvlJc w:val="left"/>
      <w:pPr>
        <w:tabs>
          <w:tab w:val="num" w:pos="0"/>
        </w:tabs>
        <w:ind w:left="3600" w:hanging="360"/>
      </w:pPr>
    </w:lvl>
    <w:lvl w:ilvl="5" w:tplc="79369344">
      <w:start w:val="1"/>
      <w:numFmt w:val="lowerRoman"/>
      <w:lvlText w:val="%6."/>
      <w:lvlJc w:val="right"/>
      <w:pPr>
        <w:tabs>
          <w:tab w:val="num" w:pos="0"/>
        </w:tabs>
        <w:ind w:left="4320" w:hanging="180"/>
      </w:pPr>
    </w:lvl>
    <w:lvl w:ilvl="6" w:tplc="26D2B3E6">
      <w:start w:val="1"/>
      <w:numFmt w:val="decimal"/>
      <w:lvlText w:val="%7."/>
      <w:lvlJc w:val="left"/>
      <w:pPr>
        <w:tabs>
          <w:tab w:val="num" w:pos="0"/>
        </w:tabs>
        <w:ind w:left="5040" w:hanging="360"/>
      </w:pPr>
    </w:lvl>
    <w:lvl w:ilvl="7" w:tplc="3134F386">
      <w:start w:val="1"/>
      <w:numFmt w:val="lowerLetter"/>
      <w:lvlText w:val="%8."/>
      <w:lvlJc w:val="left"/>
      <w:pPr>
        <w:tabs>
          <w:tab w:val="num" w:pos="0"/>
        </w:tabs>
        <w:ind w:left="5760" w:hanging="360"/>
      </w:pPr>
    </w:lvl>
    <w:lvl w:ilvl="8" w:tplc="27786B32">
      <w:start w:val="1"/>
      <w:numFmt w:val="lowerRoman"/>
      <w:lvlText w:val="%9."/>
      <w:lvlJc w:val="right"/>
      <w:pPr>
        <w:tabs>
          <w:tab w:val="num" w:pos="0"/>
        </w:tabs>
        <w:ind w:left="6480" w:hanging="180"/>
      </w:pPr>
    </w:lvl>
  </w:abstractNum>
  <w:abstractNum w:abstractNumId="15">
    <w:nsid w:val="44815CF3"/>
    <w:multiLevelType w:val="hybridMultilevel"/>
    <w:tmpl w:val="213E8CC2"/>
    <w:lvl w:ilvl="0" w:tplc="808C1400">
      <w:start w:val="1"/>
      <w:numFmt w:val="bullet"/>
      <w:lvlText w:val="-"/>
      <w:lvlJc w:val="left"/>
      <w:pPr>
        <w:ind w:left="1287" w:hanging="360"/>
      </w:pPr>
      <w:rPr>
        <w:rFonts w:ascii="Calibri" w:eastAsiaTheme="minorHAnsi" w:hAnsi="Calibri" w:cs="Calibri" w:hint="default"/>
      </w:rPr>
    </w:lvl>
    <w:lvl w:ilvl="1" w:tplc="A798ED1E">
      <w:start w:val="1"/>
      <w:numFmt w:val="bullet"/>
      <w:lvlText w:val="o"/>
      <w:lvlJc w:val="left"/>
      <w:pPr>
        <w:ind w:left="2007" w:hanging="360"/>
      </w:pPr>
      <w:rPr>
        <w:rFonts w:ascii="Courier New" w:hAnsi="Courier New" w:cs="Courier New" w:hint="default"/>
      </w:rPr>
    </w:lvl>
    <w:lvl w:ilvl="2" w:tplc="186069E8">
      <w:start w:val="1"/>
      <w:numFmt w:val="bullet"/>
      <w:lvlText w:val=""/>
      <w:lvlJc w:val="left"/>
      <w:pPr>
        <w:ind w:left="2727" w:hanging="360"/>
      </w:pPr>
      <w:rPr>
        <w:rFonts w:ascii="Wingdings" w:hAnsi="Wingdings" w:hint="default"/>
      </w:rPr>
    </w:lvl>
    <w:lvl w:ilvl="3" w:tplc="5540E7E2">
      <w:start w:val="1"/>
      <w:numFmt w:val="bullet"/>
      <w:lvlText w:val=""/>
      <w:lvlJc w:val="left"/>
      <w:pPr>
        <w:ind w:left="3447" w:hanging="360"/>
      </w:pPr>
      <w:rPr>
        <w:rFonts w:ascii="Symbol" w:hAnsi="Symbol" w:hint="default"/>
      </w:rPr>
    </w:lvl>
    <w:lvl w:ilvl="4" w:tplc="5BB6DBF0">
      <w:start w:val="1"/>
      <w:numFmt w:val="bullet"/>
      <w:lvlText w:val="o"/>
      <w:lvlJc w:val="left"/>
      <w:pPr>
        <w:ind w:left="4167" w:hanging="360"/>
      </w:pPr>
      <w:rPr>
        <w:rFonts w:ascii="Courier New" w:hAnsi="Courier New" w:cs="Courier New" w:hint="default"/>
      </w:rPr>
    </w:lvl>
    <w:lvl w:ilvl="5" w:tplc="3BC07EF2">
      <w:start w:val="1"/>
      <w:numFmt w:val="bullet"/>
      <w:lvlText w:val=""/>
      <w:lvlJc w:val="left"/>
      <w:pPr>
        <w:ind w:left="4887" w:hanging="360"/>
      </w:pPr>
      <w:rPr>
        <w:rFonts w:ascii="Wingdings" w:hAnsi="Wingdings" w:hint="default"/>
      </w:rPr>
    </w:lvl>
    <w:lvl w:ilvl="6" w:tplc="73A052A8">
      <w:start w:val="1"/>
      <w:numFmt w:val="bullet"/>
      <w:lvlText w:val=""/>
      <w:lvlJc w:val="left"/>
      <w:pPr>
        <w:ind w:left="5607" w:hanging="360"/>
      </w:pPr>
      <w:rPr>
        <w:rFonts w:ascii="Symbol" w:hAnsi="Symbol" w:hint="default"/>
      </w:rPr>
    </w:lvl>
    <w:lvl w:ilvl="7" w:tplc="8D7C470E">
      <w:start w:val="1"/>
      <w:numFmt w:val="bullet"/>
      <w:lvlText w:val="o"/>
      <w:lvlJc w:val="left"/>
      <w:pPr>
        <w:ind w:left="6327" w:hanging="360"/>
      </w:pPr>
      <w:rPr>
        <w:rFonts w:ascii="Courier New" w:hAnsi="Courier New" w:cs="Courier New" w:hint="default"/>
      </w:rPr>
    </w:lvl>
    <w:lvl w:ilvl="8" w:tplc="5638F268">
      <w:start w:val="1"/>
      <w:numFmt w:val="bullet"/>
      <w:lvlText w:val=""/>
      <w:lvlJc w:val="left"/>
      <w:pPr>
        <w:ind w:left="7047" w:hanging="360"/>
      </w:pPr>
      <w:rPr>
        <w:rFonts w:ascii="Wingdings" w:hAnsi="Wingdings" w:hint="default"/>
      </w:rPr>
    </w:lvl>
  </w:abstractNum>
  <w:abstractNum w:abstractNumId="16">
    <w:nsid w:val="464F0128"/>
    <w:multiLevelType w:val="hybridMultilevel"/>
    <w:tmpl w:val="24202BF0"/>
    <w:lvl w:ilvl="0" w:tplc="F1944C18">
      <w:start w:val="1"/>
      <w:numFmt w:val="bullet"/>
      <w:lvlText w:val=""/>
      <w:lvlJc w:val="left"/>
      <w:pPr>
        <w:ind w:left="720" w:hanging="360"/>
      </w:pPr>
      <w:rPr>
        <w:rFonts w:ascii="Symbol" w:hAnsi="Symbol" w:hint="default"/>
      </w:rPr>
    </w:lvl>
    <w:lvl w:ilvl="1" w:tplc="C6AE9A06">
      <w:start w:val="1"/>
      <w:numFmt w:val="bullet"/>
      <w:lvlText w:val="o"/>
      <w:lvlJc w:val="left"/>
      <w:pPr>
        <w:ind w:left="1440" w:hanging="360"/>
      </w:pPr>
      <w:rPr>
        <w:rFonts w:ascii="Courier New" w:hAnsi="Courier New" w:cs="Courier New" w:hint="default"/>
      </w:rPr>
    </w:lvl>
    <w:lvl w:ilvl="2" w:tplc="3F54E40E">
      <w:start w:val="1"/>
      <w:numFmt w:val="bullet"/>
      <w:lvlText w:val=""/>
      <w:lvlJc w:val="left"/>
      <w:pPr>
        <w:ind w:left="2160" w:hanging="360"/>
      </w:pPr>
      <w:rPr>
        <w:rFonts w:ascii="Wingdings" w:hAnsi="Wingdings" w:hint="default"/>
      </w:rPr>
    </w:lvl>
    <w:lvl w:ilvl="3" w:tplc="B3C2B788">
      <w:start w:val="1"/>
      <w:numFmt w:val="bullet"/>
      <w:lvlText w:val=""/>
      <w:lvlJc w:val="left"/>
      <w:pPr>
        <w:ind w:left="2880" w:hanging="360"/>
      </w:pPr>
      <w:rPr>
        <w:rFonts w:ascii="Symbol" w:hAnsi="Symbol" w:hint="default"/>
      </w:rPr>
    </w:lvl>
    <w:lvl w:ilvl="4" w:tplc="4A9CB2DA">
      <w:start w:val="1"/>
      <w:numFmt w:val="bullet"/>
      <w:lvlText w:val="o"/>
      <w:lvlJc w:val="left"/>
      <w:pPr>
        <w:ind w:left="3600" w:hanging="360"/>
      </w:pPr>
      <w:rPr>
        <w:rFonts w:ascii="Courier New" w:hAnsi="Courier New" w:cs="Courier New" w:hint="default"/>
      </w:rPr>
    </w:lvl>
    <w:lvl w:ilvl="5" w:tplc="DC88CF2A">
      <w:start w:val="1"/>
      <w:numFmt w:val="bullet"/>
      <w:lvlText w:val=""/>
      <w:lvlJc w:val="left"/>
      <w:pPr>
        <w:ind w:left="4320" w:hanging="360"/>
      </w:pPr>
      <w:rPr>
        <w:rFonts w:ascii="Wingdings" w:hAnsi="Wingdings" w:hint="default"/>
      </w:rPr>
    </w:lvl>
    <w:lvl w:ilvl="6" w:tplc="F85EDABC">
      <w:start w:val="1"/>
      <w:numFmt w:val="bullet"/>
      <w:lvlText w:val=""/>
      <w:lvlJc w:val="left"/>
      <w:pPr>
        <w:ind w:left="5040" w:hanging="360"/>
      </w:pPr>
      <w:rPr>
        <w:rFonts w:ascii="Symbol" w:hAnsi="Symbol" w:hint="default"/>
      </w:rPr>
    </w:lvl>
    <w:lvl w:ilvl="7" w:tplc="139C9EE4">
      <w:start w:val="1"/>
      <w:numFmt w:val="bullet"/>
      <w:lvlText w:val="o"/>
      <w:lvlJc w:val="left"/>
      <w:pPr>
        <w:ind w:left="5760" w:hanging="360"/>
      </w:pPr>
      <w:rPr>
        <w:rFonts w:ascii="Courier New" w:hAnsi="Courier New" w:cs="Courier New" w:hint="default"/>
      </w:rPr>
    </w:lvl>
    <w:lvl w:ilvl="8" w:tplc="38F46F92">
      <w:start w:val="1"/>
      <w:numFmt w:val="bullet"/>
      <w:lvlText w:val=""/>
      <w:lvlJc w:val="left"/>
      <w:pPr>
        <w:ind w:left="6480" w:hanging="360"/>
      </w:pPr>
      <w:rPr>
        <w:rFonts w:ascii="Wingdings" w:hAnsi="Wingdings" w:hint="default"/>
      </w:rPr>
    </w:lvl>
  </w:abstractNum>
  <w:abstractNum w:abstractNumId="17">
    <w:nsid w:val="47A36C2B"/>
    <w:multiLevelType w:val="hybridMultilevel"/>
    <w:tmpl w:val="E05E2824"/>
    <w:lvl w:ilvl="0" w:tplc="7092F072">
      <w:start w:val="1"/>
      <w:numFmt w:val="bullet"/>
      <w:lvlText w:val=""/>
      <w:lvlJc w:val="left"/>
      <w:pPr>
        <w:ind w:left="720" w:hanging="360"/>
      </w:pPr>
      <w:rPr>
        <w:rFonts w:ascii="Symbol" w:hAnsi="Symbol" w:hint="default"/>
      </w:rPr>
    </w:lvl>
    <w:lvl w:ilvl="1" w:tplc="C63C7F78">
      <w:start w:val="1"/>
      <w:numFmt w:val="bullet"/>
      <w:lvlText w:val="o"/>
      <w:lvlJc w:val="left"/>
      <w:pPr>
        <w:ind w:left="1440" w:hanging="360"/>
      </w:pPr>
      <w:rPr>
        <w:rFonts w:ascii="Courier New" w:hAnsi="Courier New" w:cs="Courier New" w:hint="default"/>
      </w:rPr>
    </w:lvl>
    <w:lvl w:ilvl="2" w:tplc="950EC9DE">
      <w:start w:val="1"/>
      <w:numFmt w:val="bullet"/>
      <w:lvlText w:val=""/>
      <w:lvlJc w:val="left"/>
      <w:pPr>
        <w:ind w:left="2160" w:hanging="360"/>
      </w:pPr>
      <w:rPr>
        <w:rFonts w:ascii="Wingdings" w:hAnsi="Wingdings" w:hint="default"/>
      </w:rPr>
    </w:lvl>
    <w:lvl w:ilvl="3" w:tplc="03C64158">
      <w:start w:val="1"/>
      <w:numFmt w:val="bullet"/>
      <w:lvlText w:val=""/>
      <w:lvlJc w:val="left"/>
      <w:pPr>
        <w:ind w:left="2880" w:hanging="360"/>
      </w:pPr>
      <w:rPr>
        <w:rFonts w:ascii="Symbol" w:hAnsi="Symbol" w:hint="default"/>
      </w:rPr>
    </w:lvl>
    <w:lvl w:ilvl="4" w:tplc="5108131A">
      <w:start w:val="1"/>
      <w:numFmt w:val="bullet"/>
      <w:lvlText w:val="o"/>
      <w:lvlJc w:val="left"/>
      <w:pPr>
        <w:ind w:left="3600" w:hanging="360"/>
      </w:pPr>
      <w:rPr>
        <w:rFonts w:ascii="Courier New" w:hAnsi="Courier New" w:cs="Courier New" w:hint="default"/>
      </w:rPr>
    </w:lvl>
    <w:lvl w:ilvl="5" w:tplc="4EF6A1E4">
      <w:start w:val="1"/>
      <w:numFmt w:val="bullet"/>
      <w:lvlText w:val=""/>
      <w:lvlJc w:val="left"/>
      <w:pPr>
        <w:ind w:left="4320" w:hanging="360"/>
      </w:pPr>
      <w:rPr>
        <w:rFonts w:ascii="Wingdings" w:hAnsi="Wingdings" w:hint="default"/>
      </w:rPr>
    </w:lvl>
    <w:lvl w:ilvl="6" w:tplc="0E867476">
      <w:start w:val="1"/>
      <w:numFmt w:val="bullet"/>
      <w:lvlText w:val=""/>
      <w:lvlJc w:val="left"/>
      <w:pPr>
        <w:ind w:left="5040" w:hanging="360"/>
      </w:pPr>
      <w:rPr>
        <w:rFonts w:ascii="Symbol" w:hAnsi="Symbol" w:hint="default"/>
      </w:rPr>
    </w:lvl>
    <w:lvl w:ilvl="7" w:tplc="2DBCEB9C">
      <w:start w:val="1"/>
      <w:numFmt w:val="bullet"/>
      <w:lvlText w:val="o"/>
      <w:lvlJc w:val="left"/>
      <w:pPr>
        <w:ind w:left="5760" w:hanging="360"/>
      </w:pPr>
      <w:rPr>
        <w:rFonts w:ascii="Courier New" w:hAnsi="Courier New" w:cs="Courier New" w:hint="default"/>
      </w:rPr>
    </w:lvl>
    <w:lvl w:ilvl="8" w:tplc="7B96A19C">
      <w:start w:val="1"/>
      <w:numFmt w:val="bullet"/>
      <w:lvlText w:val=""/>
      <w:lvlJc w:val="left"/>
      <w:pPr>
        <w:ind w:left="6480" w:hanging="360"/>
      </w:pPr>
      <w:rPr>
        <w:rFonts w:ascii="Wingdings" w:hAnsi="Wingdings" w:hint="default"/>
      </w:rPr>
    </w:lvl>
  </w:abstractNum>
  <w:abstractNum w:abstractNumId="18">
    <w:nsid w:val="52E60AEA"/>
    <w:multiLevelType w:val="hybridMultilevel"/>
    <w:tmpl w:val="B0AC2446"/>
    <w:lvl w:ilvl="0" w:tplc="1F184B3C">
      <w:start w:val="1"/>
      <w:numFmt w:val="bullet"/>
      <w:lvlText w:val=""/>
      <w:lvlJc w:val="left"/>
      <w:pPr>
        <w:ind w:left="720" w:hanging="360"/>
      </w:pPr>
      <w:rPr>
        <w:rFonts w:ascii="Symbol" w:hAnsi="Symbol" w:hint="default"/>
      </w:rPr>
    </w:lvl>
    <w:lvl w:ilvl="1" w:tplc="BEE6186E">
      <w:start w:val="1"/>
      <w:numFmt w:val="bullet"/>
      <w:lvlText w:val="o"/>
      <w:lvlJc w:val="left"/>
      <w:pPr>
        <w:ind w:left="1440" w:hanging="360"/>
      </w:pPr>
      <w:rPr>
        <w:rFonts w:ascii="Courier New" w:hAnsi="Courier New" w:cs="Courier New" w:hint="default"/>
      </w:rPr>
    </w:lvl>
    <w:lvl w:ilvl="2" w:tplc="7C5A1240">
      <w:start w:val="1"/>
      <w:numFmt w:val="bullet"/>
      <w:lvlText w:val=""/>
      <w:lvlJc w:val="left"/>
      <w:pPr>
        <w:ind w:left="2160" w:hanging="360"/>
      </w:pPr>
      <w:rPr>
        <w:rFonts w:ascii="Wingdings" w:hAnsi="Wingdings" w:hint="default"/>
      </w:rPr>
    </w:lvl>
    <w:lvl w:ilvl="3" w:tplc="6EC884F0">
      <w:start w:val="1"/>
      <w:numFmt w:val="bullet"/>
      <w:lvlText w:val=""/>
      <w:lvlJc w:val="left"/>
      <w:pPr>
        <w:ind w:left="2880" w:hanging="360"/>
      </w:pPr>
      <w:rPr>
        <w:rFonts w:ascii="Symbol" w:hAnsi="Symbol" w:hint="default"/>
      </w:rPr>
    </w:lvl>
    <w:lvl w:ilvl="4" w:tplc="72EE9AF4">
      <w:start w:val="1"/>
      <w:numFmt w:val="bullet"/>
      <w:lvlText w:val="o"/>
      <w:lvlJc w:val="left"/>
      <w:pPr>
        <w:ind w:left="3600" w:hanging="360"/>
      </w:pPr>
      <w:rPr>
        <w:rFonts w:ascii="Courier New" w:hAnsi="Courier New" w:cs="Courier New" w:hint="default"/>
      </w:rPr>
    </w:lvl>
    <w:lvl w:ilvl="5" w:tplc="F47264BA">
      <w:start w:val="1"/>
      <w:numFmt w:val="bullet"/>
      <w:lvlText w:val=""/>
      <w:lvlJc w:val="left"/>
      <w:pPr>
        <w:ind w:left="4320" w:hanging="360"/>
      </w:pPr>
      <w:rPr>
        <w:rFonts w:ascii="Wingdings" w:hAnsi="Wingdings" w:hint="default"/>
      </w:rPr>
    </w:lvl>
    <w:lvl w:ilvl="6" w:tplc="CD0036F6">
      <w:start w:val="1"/>
      <w:numFmt w:val="bullet"/>
      <w:lvlText w:val=""/>
      <w:lvlJc w:val="left"/>
      <w:pPr>
        <w:ind w:left="5040" w:hanging="360"/>
      </w:pPr>
      <w:rPr>
        <w:rFonts w:ascii="Symbol" w:hAnsi="Symbol" w:hint="default"/>
      </w:rPr>
    </w:lvl>
    <w:lvl w:ilvl="7" w:tplc="C4CECEBE">
      <w:start w:val="1"/>
      <w:numFmt w:val="bullet"/>
      <w:lvlText w:val="o"/>
      <w:lvlJc w:val="left"/>
      <w:pPr>
        <w:ind w:left="5760" w:hanging="360"/>
      </w:pPr>
      <w:rPr>
        <w:rFonts w:ascii="Courier New" w:hAnsi="Courier New" w:cs="Courier New" w:hint="default"/>
      </w:rPr>
    </w:lvl>
    <w:lvl w:ilvl="8" w:tplc="F94C6ECE">
      <w:start w:val="1"/>
      <w:numFmt w:val="bullet"/>
      <w:lvlText w:val=""/>
      <w:lvlJc w:val="left"/>
      <w:pPr>
        <w:ind w:left="6480" w:hanging="360"/>
      </w:pPr>
      <w:rPr>
        <w:rFonts w:ascii="Wingdings" w:hAnsi="Wingdings" w:hint="default"/>
      </w:rPr>
    </w:lvl>
  </w:abstractNum>
  <w:abstractNum w:abstractNumId="19">
    <w:nsid w:val="5C1D045C"/>
    <w:multiLevelType w:val="multilevel"/>
    <w:tmpl w:val="195C3168"/>
    <w:lvl w:ilvl="0">
      <w:start w:val="1"/>
      <w:numFmt w:val="decimal"/>
      <w:lvlText w:val="%1."/>
      <w:lvlJc w:val="left"/>
      <w:pPr>
        <w:ind w:left="284" w:hanging="284"/>
      </w:pPr>
      <w:rPr>
        <w:rFonts w:hint="default"/>
      </w:rPr>
    </w:lvl>
    <w:lvl w:ilvl="1">
      <w:start w:val="1"/>
      <w:numFmt w:val="decimal"/>
      <w:lvlText w:val="%1.%2."/>
      <w:lvlJc w:val="left"/>
      <w:pPr>
        <w:tabs>
          <w:tab w:val="num" w:pos="340"/>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C9D4DBC"/>
    <w:multiLevelType w:val="hybridMultilevel"/>
    <w:tmpl w:val="ED36CAC0"/>
    <w:lvl w:ilvl="0" w:tplc="CA363862">
      <w:start w:val="1"/>
      <w:numFmt w:val="decimal"/>
      <w:lvlText w:val="%1)"/>
      <w:lvlJc w:val="left"/>
      <w:pPr>
        <w:ind w:left="720" w:hanging="360"/>
      </w:pPr>
    </w:lvl>
    <w:lvl w:ilvl="1" w:tplc="75F8252A">
      <w:start w:val="1"/>
      <w:numFmt w:val="lowerLetter"/>
      <w:lvlText w:val="%2."/>
      <w:lvlJc w:val="left"/>
      <w:pPr>
        <w:ind w:left="1440" w:hanging="360"/>
      </w:pPr>
    </w:lvl>
    <w:lvl w:ilvl="2" w:tplc="3C6EC40C">
      <w:start w:val="1"/>
      <w:numFmt w:val="lowerRoman"/>
      <w:lvlText w:val="%3."/>
      <w:lvlJc w:val="right"/>
      <w:pPr>
        <w:ind w:left="2160" w:hanging="180"/>
      </w:pPr>
    </w:lvl>
    <w:lvl w:ilvl="3" w:tplc="8CE82904">
      <w:start w:val="1"/>
      <w:numFmt w:val="decimal"/>
      <w:lvlText w:val="%4."/>
      <w:lvlJc w:val="left"/>
      <w:pPr>
        <w:ind w:left="2880" w:hanging="360"/>
      </w:pPr>
    </w:lvl>
    <w:lvl w:ilvl="4" w:tplc="E3CA57F6">
      <w:start w:val="1"/>
      <w:numFmt w:val="lowerLetter"/>
      <w:lvlText w:val="%5."/>
      <w:lvlJc w:val="left"/>
      <w:pPr>
        <w:ind w:left="3600" w:hanging="360"/>
      </w:pPr>
    </w:lvl>
    <w:lvl w:ilvl="5" w:tplc="E51C23C8">
      <w:start w:val="1"/>
      <w:numFmt w:val="lowerRoman"/>
      <w:lvlText w:val="%6."/>
      <w:lvlJc w:val="right"/>
      <w:pPr>
        <w:ind w:left="4320" w:hanging="180"/>
      </w:pPr>
    </w:lvl>
    <w:lvl w:ilvl="6" w:tplc="035A0EF8">
      <w:start w:val="1"/>
      <w:numFmt w:val="decimal"/>
      <w:lvlText w:val="%7."/>
      <w:lvlJc w:val="left"/>
      <w:pPr>
        <w:ind w:left="5040" w:hanging="360"/>
      </w:pPr>
    </w:lvl>
    <w:lvl w:ilvl="7" w:tplc="C1DE106C">
      <w:start w:val="1"/>
      <w:numFmt w:val="lowerLetter"/>
      <w:lvlText w:val="%8."/>
      <w:lvlJc w:val="left"/>
      <w:pPr>
        <w:ind w:left="5760" w:hanging="360"/>
      </w:pPr>
    </w:lvl>
    <w:lvl w:ilvl="8" w:tplc="6EAC51B4">
      <w:start w:val="1"/>
      <w:numFmt w:val="lowerRoman"/>
      <w:lvlText w:val="%9."/>
      <w:lvlJc w:val="right"/>
      <w:pPr>
        <w:ind w:left="6480" w:hanging="180"/>
      </w:pPr>
    </w:lvl>
  </w:abstractNum>
  <w:abstractNum w:abstractNumId="21">
    <w:nsid w:val="619D1302"/>
    <w:multiLevelType w:val="hybridMultilevel"/>
    <w:tmpl w:val="BDC4AE30"/>
    <w:lvl w:ilvl="0" w:tplc="E5D23FE4">
      <w:start w:val="1"/>
      <w:numFmt w:val="bullet"/>
      <w:lvlText w:val=""/>
      <w:lvlJc w:val="left"/>
      <w:pPr>
        <w:ind w:left="720" w:hanging="360"/>
      </w:pPr>
      <w:rPr>
        <w:rFonts w:ascii="Symbol" w:hAnsi="Symbol" w:hint="default"/>
      </w:rPr>
    </w:lvl>
    <w:lvl w:ilvl="1" w:tplc="634230DA">
      <w:start w:val="1"/>
      <w:numFmt w:val="bullet"/>
      <w:lvlText w:val="o"/>
      <w:lvlJc w:val="left"/>
      <w:pPr>
        <w:ind w:left="1440" w:hanging="360"/>
      </w:pPr>
      <w:rPr>
        <w:rFonts w:ascii="Courier New" w:hAnsi="Courier New" w:cs="Courier New" w:hint="default"/>
      </w:rPr>
    </w:lvl>
    <w:lvl w:ilvl="2" w:tplc="AA0ACD8A">
      <w:start w:val="1"/>
      <w:numFmt w:val="bullet"/>
      <w:lvlText w:val=""/>
      <w:lvlJc w:val="left"/>
      <w:pPr>
        <w:ind w:left="2160" w:hanging="360"/>
      </w:pPr>
      <w:rPr>
        <w:rFonts w:ascii="Wingdings" w:hAnsi="Wingdings" w:hint="default"/>
      </w:rPr>
    </w:lvl>
    <w:lvl w:ilvl="3" w:tplc="C4EE8B5C">
      <w:start w:val="1"/>
      <w:numFmt w:val="bullet"/>
      <w:lvlText w:val=""/>
      <w:lvlJc w:val="left"/>
      <w:pPr>
        <w:ind w:left="2880" w:hanging="360"/>
      </w:pPr>
      <w:rPr>
        <w:rFonts w:ascii="Symbol" w:hAnsi="Symbol" w:hint="default"/>
      </w:rPr>
    </w:lvl>
    <w:lvl w:ilvl="4" w:tplc="BC3E3550">
      <w:start w:val="1"/>
      <w:numFmt w:val="bullet"/>
      <w:lvlText w:val="o"/>
      <w:lvlJc w:val="left"/>
      <w:pPr>
        <w:ind w:left="3600" w:hanging="360"/>
      </w:pPr>
      <w:rPr>
        <w:rFonts w:ascii="Courier New" w:hAnsi="Courier New" w:cs="Courier New" w:hint="default"/>
      </w:rPr>
    </w:lvl>
    <w:lvl w:ilvl="5" w:tplc="A5A09734">
      <w:start w:val="1"/>
      <w:numFmt w:val="bullet"/>
      <w:lvlText w:val=""/>
      <w:lvlJc w:val="left"/>
      <w:pPr>
        <w:ind w:left="4320" w:hanging="360"/>
      </w:pPr>
      <w:rPr>
        <w:rFonts w:ascii="Wingdings" w:hAnsi="Wingdings" w:hint="default"/>
      </w:rPr>
    </w:lvl>
    <w:lvl w:ilvl="6" w:tplc="36B63C1C">
      <w:start w:val="1"/>
      <w:numFmt w:val="bullet"/>
      <w:lvlText w:val=""/>
      <w:lvlJc w:val="left"/>
      <w:pPr>
        <w:ind w:left="5040" w:hanging="360"/>
      </w:pPr>
      <w:rPr>
        <w:rFonts w:ascii="Symbol" w:hAnsi="Symbol" w:hint="default"/>
      </w:rPr>
    </w:lvl>
    <w:lvl w:ilvl="7" w:tplc="74EE37A0">
      <w:start w:val="1"/>
      <w:numFmt w:val="bullet"/>
      <w:lvlText w:val="o"/>
      <w:lvlJc w:val="left"/>
      <w:pPr>
        <w:ind w:left="5760" w:hanging="360"/>
      </w:pPr>
      <w:rPr>
        <w:rFonts w:ascii="Courier New" w:hAnsi="Courier New" w:cs="Courier New" w:hint="default"/>
      </w:rPr>
    </w:lvl>
    <w:lvl w:ilvl="8" w:tplc="81AC34B4">
      <w:start w:val="1"/>
      <w:numFmt w:val="bullet"/>
      <w:lvlText w:val=""/>
      <w:lvlJc w:val="left"/>
      <w:pPr>
        <w:ind w:left="6480" w:hanging="360"/>
      </w:pPr>
      <w:rPr>
        <w:rFonts w:ascii="Wingdings" w:hAnsi="Wingdings" w:hint="default"/>
      </w:rPr>
    </w:lvl>
  </w:abstractNum>
  <w:abstractNum w:abstractNumId="22">
    <w:nsid w:val="622272CD"/>
    <w:multiLevelType w:val="hybridMultilevel"/>
    <w:tmpl w:val="024C9812"/>
    <w:lvl w:ilvl="0" w:tplc="820A5FF2">
      <w:start w:val="1"/>
      <w:numFmt w:val="bullet"/>
      <w:lvlText w:val=""/>
      <w:lvlJc w:val="left"/>
      <w:pPr>
        <w:ind w:left="720" w:hanging="360"/>
      </w:pPr>
      <w:rPr>
        <w:rFonts w:ascii="Symbol" w:hAnsi="Symbol" w:hint="default"/>
      </w:rPr>
    </w:lvl>
    <w:lvl w:ilvl="1" w:tplc="5ECE8CD0">
      <w:start w:val="1"/>
      <w:numFmt w:val="bullet"/>
      <w:lvlText w:val="o"/>
      <w:lvlJc w:val="left"/>
      <w:pPr>
        <w:ind w:left="1440" w:hanging="360"/>
      </w:pPr>
      <w:rPr>
        <w:rFonts w:ascii="Courier New" w:hAnsi="Courier New" w:cs="Courier New" w:hint="default"/>
      </w:rPr>
    </w:lvl>
    <w:lvl w:ilvl="2" w:tplc="7640E77C">
      <w:start w:val="1"/>
      <w:numFmt w:val="bullet"/>
      <w:lvlText w:val=""/>
      <w:lvlJc w:val="left"/>
      <w:pPr>
        <w:ind w:left="2160" w:hanging="360"/>
      </w:pPr>
      <w:rPr>
        <w:rFonts w:ascii="Wingdings" w:hAnsi="Wingdings" w:hint="default"/>
      </w:rPr>
    </w:lvl>
    <w:lvl w:ilvl="3" w:tplc="461057BC">
      <w:start w:val="1"/>
      <w:numFmt w:val="bullet"/>
      <w:lvlText w:val=""/>
      <w:lvlJc w:val="left"/>
      <w:pPr>
        <w:ind w:left="2880" w:hanging="360"/>
      </w:pPr>
      <w:rPr>
        <w:rFonts w:ascii="Symbol" w:hAnsi="Symbol" w:hint="default"/>
      </w:rPr>
    </w:lvl>
    <w:lvl w:ilvl="4" w:tplc="4E2AF68C">
      <w:start w:val="1"/>
      <w:numFmt w:val="bullet"/>
      <w:lvlText w:val="o"/>
      <w:lvlJc w:val="left"/>
      <w:pPr>
        <w:ind w:left="3600" w:hanging="360"/>
      </w:pPr>
      <w:rPr>
        <w:rFonts w:ascii="Courier New" w:hAnsi="Courier New" w:cs="Courier New" w:hint="default"/>
      </w:rPr>
    </w:lvl>
    <w:lvl w:ilvl="5" w:tplc="FDEE5EA2">
      <w:start w:val="1"/>
      <w:numFmt w:val="bullet"/>
      <w:lvlText w:val=""/>
      <w:lvlJc w:val="left"/>
      <w:pPr>
        <w:ind w:left="4320" w:hanging="360"/>
      </w:pPr>
      <w:rPr>
        <w:rFonts w:ascii="Wingdings" w:hAnsi="Wingdings" w:hint="default"/>
      </w:rPr>
    </w:lvl>
    <w:lvl w:ilvl="6" w:tplc="E3F81ED8">
      <w:start w:val="1"/>
      <w:numFmt w:val="bullet"/>
      <w:lvlText w:val=""/>
      <w:lvlJc w:val="left"/>
      <w:pPr>
        <w:ind w:left="5040" w:hanging="360"/>
      </w:pPr>
      <w:rPr>
        <w:rFonts w:ascii="Symbol" w:hAnsi="Symbol" w:hint="default"/>
      </w:rPr>
    </w:lvl>
    <w:lvl w:ilvl="7" w:tplc="8F227510">
      <w:start w:val="1"/>
      <w:numFmt w:val="bullet"/>
      <w:lvlText w:val="o"/>
      <w:lvlJc w:val="left"/>
      <w:pPr>
        <w:ind w:left="5760" w:hanging="360"/>
      </w:pPr>
      <w:rPr>
        <w:rFonts w:ascii="Courier New" w:hAnsi="Courier New" w:cs="Courier New" w:hint="default"/>
      </w:rPr>
    </w:lvl>
    <w:lvl w:ilvl="8" w:tplc="73C49E32">
      <w:start w:val="1"/>
      <w:numFmt w:val="bullet"/>
      <w:lvlText w:val=""/>
      <w:lvlJc w:val="left"/>
      <w:pPr>
        <w:ind w:left="6480" w:hanging="360"/>
      </w:pPr>
      <w:rPr>
        <w:rFonts w:ascii="Wingdings" w:hAnsi="Wingdings" w:hint="default"/>
      </w:rPr>
    </w:lvl>
  </w:abstractNum>
  <w:abstractNum w:abstractNumId="23">
    <w:nsid w:val="647937DF"/>
    <w:multiLevelType w:val="hybridMultilevel"/>
    <w:tmpl w:val="3C86633E"/>
    <w:lvl w:ilvl="0" w:tplc="B720DC18">
      <w:start w:val="1"/>
      <w:numFmt w:val="bullet"/>
      <w:lvlText w:val=""/>
      <w:lvlJc w:val="left"/>
      <w:pPr>
        <w:ind w:left="720" w:hanging="360"/>
      </w:pPr>
      <w:rPr>
        <w:rFonts w:ascii="Symbol" w:hAnsi="Symbol" w:hint="default"/>
      </w:rPr>
    </w:lvl>
    <w:lvl w:ilvl="1" w:tplc="0D7CB646">
      <w:start w:val="1"/>
      <w:numFmt w:val="bullet"/>
      <w:lvlText w:val="o"/>
      <w:lvlJc w:val="left"/>
      <w:pPr>
        <w:ind w:left="1440" w:hanging="360"/>
      </w:pPr>
      <w:rPr>
        <w:rFonts w:ascii="Courier New" w:hAnsi="Courier New" w:cs="Courier New" w:hint="default"/>
      </w:rPr>
    </w:lvl>
    <w:lvl w:ilvl="2" w:tplc="1CA42A66">
      <w:start w:val="1"/>
      <w:numFmt w:val="bullet"/>
      <w:lvlText w:val=""/>
      <w:lvlJc w:val="left"/>
      <w:pPr>
        <w:ind w:left="2160" w:hanging="360"/>
      </w:pPr>
      <w:rPr>
        <w:rFonts w:ascii="Wingdings" w:hAnsi="Wingdings" w:hint="default"/>
      </w:rPr>
    </w:lvl>
    <w:lvl w:ilvl="3" w:tplc="143C895A">
      <w:start w:val="1"/>
      <w:numFmt w:val="bullet"/>
      <w:lvlText w:val=""/>
      <w:lvlJc w:val="left"/>
      <w:pPr>
        <w:ind w:left="2880" w:hanging="360"/>
      </w:pPr>
      <w:rPr>
        <w:rFonts w:ascii="Symbol" w:hAnsi="Symbol" w:hint="default"/>
      </w:rPr>
    </w:lvl>
    <w:lvl w:ilvl="4" w:tplc="CD06E784">
      <w:start w:val="1"/>
      <w:numFmt w:val="bullet"/>
      <w:lvlText w:val="o"/>
      <w:lvlJc w:val="left"/>
      <w:pPr>
        <w:ind w:left="3600" w:hanging="360"/>
      </w:pPr>
      <w:rPr>
        <w:rFonts w:ascii="Courier New" w:hAnsi="Courier New" w:cs="Courier New" w:hint="default"/>
      </w:rPr>
    </w:lvl>
    <w:lvl w:ilvl="5" w:tplc="6FB02326">
      <w:start w:val="1"/>
      <w:numFmt w:val="bullet"/>
      <w:lvlText w:val=""/>
      <w:lvlJc w:val="left"/>
      <w:pPr>
        <w:ind w:left="4320" w:hanging="360"/>
      </w:pPr>
      <w:rPr>
        <w:rFonts w:ascii="Wingdings" w:hAnsi="Wingdings" w:hint="default"/>
      </w:rPr>
    </w:lvl>
    <w:lvl w:ilvl="6" w:tplc="E068AD3C">
      <w:start w:val="1"/>
      <w:numFmt w:val="bullet"/>
      <w:lvlText w:val=""/>
      <w:lvlJc w:val="left"/>
      <w:pPr>
        <w:ind w:left="5040" w:hanging="360"/>
      </w:pPr>
      <w:rPr>
        <w:rFonts w:ascii="Symbol" w:hAnsi="Symbol" w:hint="default"/>
      </w:rPr>
    </w:lvl>
    <w:lvl w:ilvl="7" w:tplc="60004AFA">
      <w:start w:val="1"/>
      <w:numFmt w:val="bullet"/>
      <w:lvlText w:val="o"/>
      <w:lvlJc w:val="left"/>
      <w:pPr>
        <w:ind w:left="5760" w:hanging="360"/>
      </w:pPr>
      <w:rPr>
        <w:rFonts w:ascii="Courier New" w:hAnsi="Courier New" w:cs="Courier New" w:hint="default"/>
      </w:rPr>
    </w:lvl>
    <w:lvl w:ilvl="8" w:tplc="C9508F76">
      <w:start w:val="1"/>
      <w:numFmt w:val="bullet"/>
      <w:lvlText w:val=""/>
      <w:lvlJc w:val="left"/>
      <w:pPr>
        <w:ind w:left="6480" w:hanging="360"/>
      </w:pPr>
      <w:rPr>
        <w:rFonts w:ascii="Wingdings" w:hAnsi="Wingdings" w:hint="default"/>
      </w:rPr>
    </w:lvl>
  </w:abstractNum>
  <w:abstractNum w:abstractNumId="24">
    <w:nsid w:val="6CB64C64"/>
    <w:multiLevelType w:val="hybridMultilevel"/>
    <w:tmpl w:val="967444E4"/>
    <w:lvl w:ilvl="0" w:tplc="570E5064">
      <w:start w:val="1"/>
      <w:numFmt w:val="bullet"/>
      <w:lvlText w:val=""/>
      <w:lvlJc w:val="left"/>
      <w:pPr>
        <w:ind w:left="720" w:hanging="360"/>
      </w:pPr>
      <w:rPr>
        <w:rFonts w:ascii="Symbol" w:hAnsi="Symbol" w:hint="default"/>
      </w:rPr>
    </w:lvl>
    <w:lvl w:ilvl="1" w:tplc="7B26CFC2">
      <w:start w:val="1"/>
      <w:numFmt w:val="bullet"/>
      <w:lvlText w:val="o"/>
      <w:lvlJc w:val="left"/>
      <w:pPr>
        <w:ind w:left="1440" w:hanging="360"/>
      </w:pPr>
      <w:rPr>
        <w:rFonts w:ascii="Courier New" w:hAnsi="Courier New" w:cs="Courier New" w:hint="default"/>
      </w:rPr>
    </w:lvl>
    <w:lvl w:ilvl="2" w:tplc="F6EC5CDE">
      <w:start w:val="1"/>
      <w:numFmt w:val="bullet"/>
      <w:lvlText w:val=""/>
      <w:lvlJc w:val="left"/>
      <w:pPr>
        <w:ind w:left="2160" w:hanging="360"/>
      </w:pPr>
      <w:rPr>
        <w:rFonts w:ascii="Wingdings" w:hAnsi="Wingdings" w:hint="default"/>
      </w:rPr>
    </w:lvl>
    <w:lvl w:ilvl="3" w:tplc="2EF24180">
      <w:start w:val="1"/>
      <w:numFmt w:val="bullet"/>
      <w:lvlText w:val=""/>
      <w:lvlJc w:val="left"/>
      <w:pPr>
        <w:ind w:left="2880" w:hanging="360"/>
      </w:pPr>
      <w:rPr>
        <w:rFonts w:ascii="Symbol" w:hAnsi="Symbol" w:hint="default"/>
      </w:rPr>
    </w:lvl>
    <w:lvl w:ilvl="4" w:tplc="3EBAC890">
      <w:start w:val="1"/>
      <w:numFmt w:val="bullet"/>
      <w:lvlText w:val="o"/>
      <w:lvlJc w:val="left"/>
      <w:pPr>
        <w:ind w:left="3600" w:hanging="360"/>
      </w:pPr>
      <w:rPr>
        <w:rFonts w:ascii="Courier New" w:hAnsi="Courier New" w:cs="Courier New" w:hint="default"/>
      </w:rPr>
    </w:lvl>
    <w:lvl w:ilvl="5" w:tplc="F230A1A8">
      <w:start w:val="1"/>
      <w:numFmt w:val="bullet"/>
      <w:lvlText w:val=""/>
      <w:lvlJc w:val="left"/>
      <w:pPr>
        <w:ind w:left="4320" w:hanging="360"/>
      </w:pPr>
      <w:rPr>
        <w:rFonts w:ascii="Wingdings" w:hAnsi="Wingdings" w:hint="default"/>
      </w:rPr>
    </w:lvl>
    <w:lvl w:ilvl="6" w:tplc="38E65E9C">
      <w:start w:val="1"/>
      <w:numFmt w:val="bullet"/>
      <w:lvlText w:val=""/>
      <w:lvlJc w:val="left"/>
      <w:pPr>
        <w:ind w:left="5040" w:hanging="360"/>
      </w:pPr>
      <w:rPr>
        <w:rFonts w:ascii="Symbol" w:hAnsi="Symbol" w:hint="default"/>
      </w:rPr>
    </w:lvl>
    <w:lvl w:ilvl="7" w:tplc="24923C08">
      <w:start w:val="1"/>
      <w:numFmt w:val="bullet"/>
      <w:lvlText w:val="o"/>
      <w:lvlJc w:val="left"/>
      <w:pPr>
        <w:ind w:left="5760" w:hanging="360"/>
      </w:pPr>
      <w:rPr>
        <w:rFonts w:ascii="Courier New" w:hAnsi="Courier New" w:cs="Courier New" w:hint="default"/>
      </w:rPr>
    </w:lvl>
    <w:lvl w:ilvl="8" w:tplc="7ABE662C">
      <w:start w:val="1"/>
      <w:numFmt w:val="bullet"/>
      <w:lvlText w:val=""/>
      <w:lvlJc w:val="left"/>
      <w:pPr>
        <w:ind w:left="6480" w:hanging="360"/>
      </w:pPr>
      <w:rPr>
        <w:rFonts w:ascii="Wingdings" w:hAnsi="Wingdings" w:hint="default"/>
      </w:rPr>
    </w:lvl>
  </w:abstractNum>
  <w:abstractNum w:abstractNumId="25">
    <w:nsid w:val="6EB573D5"/>
    <w:multiLevelType w:val="hybridMultilevel"/>
    <w:tmpl w:val="EB746634"/>
    <w:lvl w:ilvl="0" w:tplc="6ED44904">
      <w:start w:val="1"/>
      <w:numFmt w:val="bullet"/>
      <w:lvlText w:val="-"/>
      <w:lvlJc w:val="left"/>
      <w:pPr>
        <w:ind w:left="1287" w:hanging="360"/>
      </w:pPr>
      <w:rPr>
        <w:rFonts w:ascii="Calibri" w:eastAsiaTheme="minorHAnsi" w:hAnsi="Calibri" w:cs="Calibri" w:hint="default"/>
      </w:rPr>
    </w:lvl>
    <w:lvl w:ilvl="1" w:tplc="6F7A1AFC">
      <w:start w:val="1"/>
      <w:numFmt w:val="bullet"/>
      <w:lvlText w:val="o"/>
      <w:lvlJc w:val="left"/>
      <w:pPr>
        <w:ind w:left="2007" w:hanging="360"/>
      </w:pPr>
      <w:rPr>
        <w:rFonts w:ascii="Courier New" w:hAnsi="Courier New" w:cs="Courier New" w:hint="default"/>
      </w:rPr>
    </w:lvl>
    <w:lvl w:ilvl="2" w:tplc="8C7E2F7E">
      <w:start w:val="1"/>
      <w:numFmt w:val="bullet"/>
      <w:lvlText w:val=""/>
      <w:lvlJc w:val="left"/>
      <w:pPr>
        <w:ind w:left="2727" w:hanging="360"/>
      </w:pPr>
      <w:rPr>
        <w:rFonts w:ascii="Wingdings" w:hAnsi="Wingdings" w:hint="default"/>
      </w:rPr>
    </w:lvl>
    <w:lvl w:ilvl="3" w:tplc="3940C31C">
      <w:start w:val="1"/>
      <w:numFmt w:val="bullet"/>
      <w:lvlText w:val=""/>
      <w:lvlJc w:val="left"/>
      <w:pPr>
        <w:ind w:left="3447" w:hanging="360"/>
      </w:pPr>
      <w:rPr>
        <w:rFonts w:ascii="Symbol" w:hAnsi="Symbol" w:hint="default"/>
      </w:rPr>
    </w:lvl>
    <w:lvl w:ilvl="4" w:tplc="91B69168">
      <w:start w:val="1"/>
      <w:numFmt w:val="bullet"/>
      <w:lvlText w:val="o"/>
      <w:lvlJc w:val="left"/>
      <w:pPr>
        <w:ind w:left="4167" w:hanging="360"/>
      </w:pPr>
      <w:rPr>
        <w:rFonts w:ascii="Courier New" w:hAnsi="Courier New" w:cs="Courier New" w:hint="default"/>
      </w:rPr>
    </w:lvl>
    <w:lvl w:ilvl="5" w:tplc="CAB2934E">
      <w:start w:val="1"/>
      <w:numFmt w:val="bullet"/>
      <w:lvlText w:val=""/>
      <w:lvlJc w:val="left"/>
      <w:pPr>
        <w:ind w:left="4887" w:hanging="360"/>
      </w:pPr>
      <w:rPr>
        <w:rFonts w:ascii="Wingdings" w:hAnsi="Wingdings" w:hint="default"/>
      </w:rPr>
    </w:lvl>
    <w:lvl w:ilvl="6" w:tplc="BE707900">
      <w:start w:val="1"/>
      <w:numFmt w:val="bullet"/>
      <w:lvlText w:val=""/>
      <w:lvlJc w:val="left"/>
      <w:pPr>
        <w:ind w:left="5607" w:hanging="360"/>
      </w:pPr>
      <w:rPr>
        <w:rFonts w:ascii="Symbol" w:hAnsi="Symbol" w:hint="default"/>
      </w:rPr>
    </w:lvl>
    <w:lvl w:ilvl="7" w:tplc="87566FBA">
      <w:start w:val="1"/>
      <w:numFmt w:val="bullet"/>
      <w:lvlText w:val="o"/>
      <w:lvlJc w:val="left"/>
      <w:pPr>
        <w:ind w:left="6327" w:hanging="360"/>
      </w:pPr>
      <w:rPr>
        <w:rFonts w:ascii="Courier New" w:hAnsi="Courier New" w:cs="Courier New" w:hint="default"/>
      </w:rPr>
    </w:lvl>
    <w:lvl w:ilvl="8" w:tplc="941EBCA2">
      <w:start w:val="1"/>
      <w:numFmt w:val="bullet"/>
      <w:lvlText w:val=""/>
      <w:lvlJc w:val="left"/>
      <w:pPr>
        <w:ind w:left="7047" w:hanging="360"/>
      </w:pPr>
      <w:rPr>
        <w:rFonts w:ascii="Wingdings" w:hAnsi="Wingdings" w:hint="default"/>
      </w:rPr>
    </w:lvl>
  </w:abstractNum>
  <w:abstractNum w:abstractNumId="26">
    <w:nsid w:val="76AA1A45"/>
    <w:multiLevelType w:val="hybridMultilevel"/>
    <w:tmpl w:val="05E0B31A"/>
    <w:lvl w:ilvl="0" w:tplc="686C51B2">
      <w:start w:val="1"/>
      <w:numFmt w:val="bullet"/>
      <w:lvlText w:val="-"/>
      <w:lvlJc w:val="left"/>
      <w:pPr>
        <w:ind w:left="1494" w:hanging="360"/>
      </w:pPr>
      <w:rPr>
        <w:rFonts w:ascii="Calibri" w:eastAsiaTheme="minorHAnsi" w:hAnsi="Calibri" w:cs="Calibri" w:hint="default"/>
      </w:rPr>
    </w:lvl>
    <w:lvl w:ilvl="1" w:tplc="694885A8">
      <w:start w:val="1"/>
      <w:numFmt w:val="bullet"/>
      <w:lvlText w:val="o"/>
      <w:lvlJc w:val="left"/>
      <w:pPr>
        <w:ind w:left="2007" w:hanging="360"/>
      </w:pPr>
      <w:rPr>
        <w:rFonts w:ascii="Courier New" w:hAnsi="Courier New" w:cs="Courier New" w:hint="default"/>
      </w:rPr>
    </w:lvl>
    <w:lvl w:ilvl="2" w:tplc="FE6E7582">
      <w:start w:val="1"/>
      <w:numFmt w:val="bullet"/>
      <w:lvlText w:val=""/>
      <w:lvlJc w:val="left"/>
      <w:pPr>
        <w:ind w:left="2727" w:hanging="360"/>
      </w:pPr>
      <w:rPr>
        <w:rFonts w:ascii="Wingdings" w:hAnsi="Wingdings" w:hint="default"/>
      </w:rPr>
    </w:lvl>
    <w:lvl w:ilvl="3" w:tplc="7B3C3C5E">
      <w:start w:val="1"/>
      <w:numFmt w:val="bullet"/>
      <w:lvlText w:val=""/>
      <w:lvlJc w:val="left"/>
      <w:pPr>
        <w:ind w:left="3447" w:hanging="360"/>
      </w:pPr>
      <w:rPr>
        <w:rFonts w:ascii="Symbol" w:hAnsi="Symbol" w:hint="default"/>
      </w:rPr>
    </w:lvl>
    <w:lvl w:ilvl="4" w:tplc="473085AA">
      <w:start w:val="1"/>
      <w:numFmt w:val="bullet"/>
      <w:lvlText w:val="o"/>
      <w:lvlJc w:val="left"/>
      <w:pPr>
        <w:ind w:left="4167" w:hanging="360"/>
      </w:pPr>
      <w:rPr>
        <w:rFonts w:ascii="Courier New" w:hAnsi="Courier New" w:cs="Courier New" w:hint="default"/>
      </w:rPr>
    </w:lvl>
    <w:lvl w:ilvl="5" w:tplc="378ED23A">
      <w:start w:val="1"/>
      <w:numFmt w:val="bullet"/>
      <w:lvlText w:val=""/>
      <w:lvlJc w:val="left"/>
      <w:pPr>
        <w:ind w:left="4887" w:hanging="360"/>
      </w:pPr>
      <w:rPr>
        <w:rFonts w:ascii="Wingdings" w:hAnsi="Wingdings" w:hint="default"/>
      </w:rPr>
    </w:lvl>
    <w:lvl w:ilvl="6" w:tplc="9CFCD9D4">
      <w:start w:val="1"/>
      <w:numFmt w:val="bullet"/>
      <w:lvlText w:val=""/>
      <w:lvlJc w:val="left"/>
      <w:pPr>
        <w:ind w:left="5607" w:hanging="360"/>
      </w:pPr>
      <w:rPr>
        <w:rFonts w:ascii="Symbol" w:hAnsi="Symbol" w:hint="default"/>
      </w:rPr>
    </w:lvl>
    <w:lvl w:ilvl="7" w:tplc="19460F10">
      <w:start w:val="1"/>
      <w:numFmt w:val="bullet"/>
      <w:lvlText w:val="o"/>
      <w:lvlJc w:val="left"/>
      <w:pPr>
        <w:ind w:left="6327" w:hanging="360"/>
      </w:pPr>
      <w:rPr>
        <w:rFonts w:ascii="Courier New" w:hAnsi="Courier New" w:cs="Courier New" w:hint="default"/>
      </w:rPr>
    </w:lvl>
    <w:lvl w:ilvl="8" w:tplc="4CC69F70">
      <w:start w:val="1"/>
      <w:numFmt w:val="bullet"/>
      <w:lvlText w:val=""/>
      <w:lvlJc w:val="left"/>
      <w:pPr>
        <w:ind w:left="7047" w:hanging="360"/>
      </w:pPr>
      <w:rPr>
        <w:rFonts w:ascii="Wingdings" w:hAnsi="Wingdings" w:hint="default"/>
      </w:rPr>
    </w:lvl>
  </w:abstractNum>
  <w:abstractNum w:abstractNumId="27">
    <w:nsid w:val="78AE6B6D"/>
    <w:multiLevelType w:val="hybridMultilevel"/>
    <w:tmpl w:val="FA2AE8EA"/>
    <w:lvl w:ilvl="0" w:tplc="EAF42DE8">
      <w:start w:val="1"/>
      <w:numFmt w:val="bullet"/>
      <w:lvlText w:val=""/>
      <w:lvlJc w:val="left"/>
      <w:pPr>
        <w:ind w:left="720" w:hanging="360"/>
      </w:pPr>
      <w:rPr>
        <w:rFonts w:ascii="Symbol" w:hAnsi="Symbol" w:hint="default"/>
      </w:rPr>
    </w:lvl>
    <w:lvl w:ilvl="1" w:tplc="7C880540">
      <w:start w:val="1"/>
      <w:numFmt w:val="bullet"/>
      <w:lvlText w:val="o"/>
      <w:lvlJc w:val="left"/>
      <w:pPr>
        <w:ind w:left="1440" w:hanging="360"/>
      </w:pPr>
      <w:rPr>
        <w:rFonts w:ascii="Courier New" w:hAnsi="Courier New" w:cs="Courier New" w:hint="default"/>
      </w:rPr>
    </w:lvl>
    <w:lvl w:ilvl="2" w:tplc="CC207FFA">
      <w:start w:val="1"/>
      <w:numFmt w:val="bullet"/>
      <w:lvlText w:val=""/>
      <w:lvlJc w:val="left"/>
      <w:pPr>
        <w:ind w:left="2160" w:hanging="360"/>
      </w:pPr>
      <w:rPr>
        <w:rFonts w:ascii="Wingdings" w:hAnsi="Wingdings" w:hint="default"/>
      </w:rPr>
    </w:lvl>
    <w:lvl w:ilvl="3" w:tplc="F9D024C8">
      <w:start w:val="1"/>
      <w:numFmt w:val="bullet"/>
      <w:lvlText w:val=""/>
      <w:lvlJc w:val="left"/>
      <w:pPr>
        <w:ind w:left="2880" w:hanging="360"/>
      </w:pPr>
      <w:rPr>
        <w:rFonts w:ascii="Symbol" w:hAnsi="Symbol" w:hint="default"/>
      </w:rPr>
    </w:lvl>
    <w:lvl w:ilvl="4" w:tplc="519C67A4">
      <w:start w:val="1"/>
      <w:numFmt w:val="bullet"/>
      <w:lvlText w:val="o"/>
      <w:lvlJc w:val="left"/>
      <w:pPr>
        <w:ind w:left="3600" w:hanging="360"/>
      </w:pPr>
      <w:rPr>
        <w:rFonts w:ascii="Courier New" w:hAnsi="Courier New" w:cs="Courier New" w:hint="default"/>
      </w:rPr>
    </w:lvl>
    <w:lvl w:ilvl="5" w:tplc="8154EC00">
      <w:start w:val="1"/>
      <w:numFmt w:val="bullet"/>
      <w:lvlText w:val=""/>
      <w:lvlJc w:val="left"/>
      <w:pPr>
        <w:ind w:left="4320" w:hanging="360"/>
      </w:pPr>
      <w:rPr>
        <w:rFonts w:ascii="Wingdings" w:hAnsi="Wingdings" w:hint="default"/>
      </w:rPr>
    </w:lvl>
    <w:lvl w:ilvl="6" w:tplc="824870E4">
      <w:start w:val="1"/>
      <w:numFmt w:val="bullet"/>
      <w:lvlText w:val=""/>
      <w:lvlJc w:val="left"/>
      <w:pPr>
        <w:ind w:left="5040" w:hanging="360"/>
      </w:pPr>
      <w:rPr>
        <w:rFonts w:ascii="Symbol" w:hAnsi="Symbol" w:hint="default"/>
      </w:rPr>
    </w:lvl>
    <w:lvl w:ilvl="7" w:tplc="7B9A4BBE">
      <w:start w:val="1"/>
      <w:numFmt w:val="bullet"/>
      <w:lvlText w:val="o"/>
      <w:lvlJc w:val="left"/>
      <w:pPr>
        <w:ind w:left="5760" w:hanging="360"/>
      </w:pPr>
      <w:rPr>
        <w:rFonts w:ascii="Courier New" w:hAnsi="Courier New" w:cs="Courier New" w:hint="default"/>
      </w:rPr>
    </w:lvl>
    <w:lvl w:ilvl="8" w:tplc="0BDA1C6A">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3"/>
  </w:num>
  <w:num w:numId="4">
    <w:abstractNumId w:val="21"/>
  </w:num>
  <w:num w:numId="5">
    <w:abstractNumId w:val="18"/>
  </w:num>
  <w:num w:numId="6">
    <w:abstractNumId w:val="4"/>
  </w:num>
  <w:num w:numId="7">
    <w:abstractNumId w:val="6"/>
  </w:num>
  <w:num w:numId="8">
    <w:abstractNumId w:val="5"/>
  </w:num>
  <w:num w:numId="9">
    <w:abstractNumId w:val="0"/>
  </w:num>
  <w:num w:numId="10">
    <w:abstractNumId w:val="24"/>
  </w:num>
  <w:num w:numId="11">
    <w:abstractNumId w:val="17"/>
  </w:num>
  <w:num w:numId="12">
    <w:abstractNumId w:val="16"/>
  </w:num>
  <w:num w:numId="13">
    <w:abstractNumId w:val="22"/>
  </w:num>
  <w:num w:numId="14">
    <w:abstractNumId w:val="1"/>
  </w:num>
  <w:num w:numId="15">
    <w:abstractNumId w:val="20"/>
  </w:num>
  <w:num w:numId="16">
    <w:abstractNumId w:val="2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
  </w:num>
  <w:num w:numId="20">
    <w:abstractNumId w:val="15"/>
  </w:num>
  <w:num w:numId="21">
    <w:abstractNumId w:val="26"/>
  </w:num>
  <w:num w:numId="22">
    <w:abstractNumId w:val="12"/>
  </w:num>
  <w:num w:numId="23">
    <w:abstractNumId w:val="7"/>
  </w:num>
  <w:num w:numId="24">
    <w:abstractNumId w:val="9"/>
  </w:num>
  <w:num w:numId="25">
    <w:abstractNumId w:val="3"/>
  </w:num>
  <w:num w:numId="26">
    <w:abstractNumId w:val="19"/>
  </w:num>
  <w:num w:numId="27">
    <w:abstractNumId w:val="8"/>
  </w:num>
  <w:num w:numId="28">
    <w:abstractNumId w:val="10"/>
  </w:num>
  <w:num w:numId="29">
    <w:abstractNumId w:val="27"/>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E65"/>
    <w:rsid w:val="00275E65"/>
    <w:rsid w:val="00902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lang w:val="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5">
    <w:name w:val="Нижний колонтитул Знак"/>
    <w:link w:val="a6"/>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a1"/>
    <w:uiPriority w:val="99"/>
    <w:rPr>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rPr>
      <w:color w:val="404040"/>
      <w:sz w:val="20"/>
      <w:szCs w:val="20"/>
      <w:lang w:val="ru-RU"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a1"/>
    <w:uiPriority w:val="99"/>
    <w:rPr>
      <w:color w:val="404040"/>
      <w:sz w:val="20"/>
      <w:szCs w:val="20"/>
      <w:lang w:val="ru-RU"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a1"/>
    <w:uiPriority w:val="99"/>
    <w:rPr>
      <w:color w:val="404040"/>
      <w:sz w:val="20"/>
      <w:szCs w:val="20"/>
      <w:lang w:val="ru-RU"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a1"/>
    <w:uiPriority w:val="99"/>
    <w:rPr>
      <w:color w:val="404040"/>
      <w:sz w:val="20"/>
      <w:szCs w:val="20"/>
      <w:lang w:val="ru-RU"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a1"/>
    <w:uiPriority w:val="99"/>
    <w:rPr>
      <w:color w:val="404040"/>
      <w:sz w:val="20"/>
      <w:szCs w:val="20"/>
      <w:lang w:val="ru-RU"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a1"/>
    <w:uiPriority w:val="99"/>
    <w:rPr>
      <w:color w:val="404040"/>
      <w:sz w:val="20"/>
      <w:szCs w:val="20"/>
      <w:lang w:val="ru-RU"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a7">
    <w:name w:val="Текст сноски Знак"/>
    <w:link w:val="a8"/>
    <w:uiPriority w:val="99"/>
    <w:rPr>
      <w:sz w:val="18"/>
    </w:rPr>
  </w:style>
  <w:style w:type="paragraph" w:styleId="a9">
    <w:name w:val="endnote text"/>
    <w:basedOn w:val="a"/>
    <w:link w:val="aa"/>
    <w:uiPriority w:val="99"/>
    <w:semiHidden/>
    <w:unhideWhenUsed/>
    <w:pPr>
      <w:spacing w:after="0" w:line="240" w:lineRule="auto"/>
    </w:pPr>
    <w:rPr>
      <w:sz w:val="20"/>
    </w:rPr>
  </w:style>
  <w:style w:type="character" w:customStyle="1" w:styleId="aa">
    <w:name w:val="Текст концевой сноски Знак"/>
    <w:link w:val="a9"/>
    <w:uiPriority w:val="99"/>
    <w:rPr>
      <w:sz w:val="20"/>
    </w:rPr>
  </w:style>
  <w:style w:type="character" w:styleId="ab">
    <w:name w:val="endnote reference"/>
    <w:basedOn w:val="a0"/>
    <w:uiPriority w:val="99"/>
    <w:semiHidden/>
    <w:unhideWhenUsed/>
    <w:rPr>
      <w:vertAlign w:val="superscript"/>
    </w:r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c">
    <w:name w:val="TOC Heading"/>
    <w:uiPriority w:val="39"/>
    <w:unhideWhenUsed/>
  </w:style>
  <w:style w:type="paragraph" w:styleId="ad">
    <w:name w:val="table of figures"/>
    <w:basedOn w:val="a"/>
    <w:next w:val="a"/>
    <w:uiPriority w:val="99"/>
    <w:unhideWhenUsed/>
    <w:pPr>
      <w:spacing w:after="0"/>
    </w:pPr>
  </w:style>
  <w:style w:type="character" w:customStyle="1" w:styleId="ae">
    <w:name w:val="Текст у виносці Знак"/>
    <w:basedOn w:val="a0"/>
    <w:uiPriority w:val="99"/>
    <w:semiHidden/>
    <w:qFormat/>
    <w:rPr>
      <w:rFonts w:ascii="Segoe UI" w:hAnsi="Segoe UI" w:cs="Segoe UI"/>
      <w:sz w:val="18"/>
      <w:szCs w:val="18"/>
    </w:rPr>
  </w:style>
  <w:style w:type="character" w:styleId="af">
    <w:name w:val="annotation reference"/>
    <w:basedOn w:val="a0"/>
    <w:uiPriority w:val="99"/>
    <w:semiHidden/>
    <w:unhideWhenUsed/>
    <w:qFormat/>
    <w:rPr>
      <w:sz w:val="16"/>
      <w:szCs w:val="16"/>
    </w:rPr>
  </w:style>
  <w:style w:type="character" w:customStyle="1" w:styleId="af0">
    <w:name w:val="Текст примітки Знак"/>
    <w:basedOn w:val="a0"/>
    <w:uiPriority w:val="99"/>
    <w:qFormat/>
    <w:rPr>
      <w:sz w:val="20"/>
      <w:szCs w:val="20"/>
      <w:lang w:val="en-US"/>
    </w:rPr>
  </w:style>
  <w:style w:type="character" w:customStyle="1" w:styleId="af1">
    <w:name w:val="Основний текст Знак"/>
    <w:basedOn w:val="a0"/>
    <w:uiPriority w:val="99"/>
    <w:qFormat/>
    <w:rPr>
      <w:rFonts w:ascii="Times New Roman" w:eastAsia="Times New Roman" w:hAnsi="Times New Roman" w:cs="Times New Roman"/>
      <w:sz w:val="24"/>
      <w:szCs w:val="24"/>
      <w:lang w:val="ru-RU" w:eastAsia="ru-RU"/>
    </w:rPr>
  </w:style>
  <w:style w:type="character" w:customStyle="1" w:styleId="23">
    <w:name w:val="Оглавление (2)_"/>
    <w:basedOn w:val="a0"/>
    <w:link w:val="24"/>
    <w:qFormat/>
    <w:rPr>
      <w:rFonts w:ascii="Times New Roman" w:eastAsia="Times New Roman" w:hAnsi="Times New Roman" w:cs="Times New Roman"/>
      <w:b/>
      <w:bCs/>
      <w:sz w:val="28"/>
      <w:szCs w:val="28"/>
      <w:shd w:val="clear" w:color="auto" w:fill="FFFFFF"/>
    </w:rPr>
  </w:style>
  <w:style w:type="character" w:customStyle="1" w:styleId="af2">
    <w:name w:val="Абзац списку Знак"/>
    <w:uiPriority w:val="34"/>
    <w:qFormat/>
    <w:rPr>
      <w:lang w:val="en-US"/>
    </w:rPr>
  </w:style>
  <w:style w:type="character" w:styleId="af3">
    <w:name w:val="Hyperlink"/>
    <w:basedOn w:val="a0"/>
    <w:uiPriority w:val="99"/>
    <w:unhideWhenUsed/>
    <w:rPr>
      <w:color w:val="0563C1" w:themeColor="hyperlink"/>
      <w:u w:val="single"/>
    </w:rPr>
  </w:style>
  <w:style w:type="character" w:customStyle="1" w:styleId="af4">
    <w:name w:val="Нижній колонтитул Знак"/>
    <w:basedOn w:val="a0"/>
    <w:uiPriority w:val="99"/>
    <w:qFormat/>
  </w:style>
  <w:style w:type="character" w:customStyle="1" w:styleId="rvts23">
    <w:name w:val="rvts23"/>
    <w:basedOn w:val="a0"/>
    <w:qFormat/>
  </w:style>
  <w:style w:type="character" w:customStyle="1" w:styleId="af5">
    <w:name w:val="Текст виноски Знак"/>
    <w:basedOn w:val="a0"/>
    <w:uiPriority w:val="99"/>
    <w:semiHidden/>
    <w:qFormat/>
    <w:rPr>
      <w:sz w:val="20"/>
      <w:szCs w:val="20"/>
    </w:rPr>
  </w:style>
  <w:style w:type="character" w:customStyle="1" w:styleId="af6">
    <w:name w:val="Прив'язка виноски"/>
    <w:rPr>
      <w:vertAlign w:val="superscript"/>
    </w:rPr>
  </w:style>
  <w:style w:type="character" w:customStyle="1" w:styleId="FootnoteCharacters">
    <w:name w:val="Footnote Characters"/>
    <w:basedOn w:val="a0"/>
    <w:uiPriority w:val="99"/>
    <w:semiHidden/>
    <w:unhideWhenUsed/>
    <w:qFormat/>
    <w:rPr>
      <w:vertAlign w:val="superscript"/>
    </w:rPr>
  </w:style>
  <w:style w:type="character" w:customStyle="1" w:styleId="af7">
    <w:name w:val="Символи виноски"/>
    <w:qFormat/>
  </w:style>
  <w:style w:type="character" w:customStyle="1" w:styleId="af8">
    <w:name w:val="Прив'язка кінцевої виноски"/>
    <w:rPr>
      <w:vertAlign w:val="superscript"/>
    </w:rPr>
  </w:style>
  <w:style w:type="character" w:customStyle="1" w:styleId="af9">
    <w:name w:val="Символи кінцевої виноски"/>
    <w:qFormat/>
  </w:style>
  <w:style w:type="paragraph" w:customStyle="1" w:styleId="afa">
    <w:name w:val="Заголовок"/>
    <w:basedOn w:val="a"/>
    <w:next w:val="afb"/>
    <w:qFormat/>
    <w:pPr>
      <w:keepNext/>
      <w:spacing w:before="240" w:after="120"/>
    </w:pPr>
    <w:rPr>
      <w:rFonts w:ascii="Liberation Sans" w:eastAsia="Microsoft YaHei" w:hAnsi="Liberation Sans" w:cs="Lucida Sans"/>
      <w:sz w:val="28"/>
      <w:szCs w:val="28"/>
    </w:rPr>
  </w:style>
  <w:style w:type="paragraph" w:styleId="afb">
    <w:name w:val="Body Text"/>
    <w:basedOn w:val="a"/>
    <w:uiPriority w:val="99"/>
    <w:unhideWhenUsed/>
    <w:pPr>
      <w:spacing w:after="120" w:line="240" w:lineRule="auto"/>
    </w:pPr>
    <w:rPr>
      <w:rFonts w:ascii="Times New Roman" w:eastAsia="Times New Roman" w:hAnsi="Times New Roman" w:cs="Times New Roman"/>
      <w:sz w:val="24"/>
      <w:szCs w:val="24"/>
      <w:lang w:val="ru-RU" w:eastAsia="ru-RU"/>
    </w:rPr>
  </w:style>
  <w:style w:type="paragraph" w:styleId="afc">
    <w:name w:val="List"/>
    <w:basedOn w:val="afb"/>
    <w:rPr>
      <w:rFonts w:cs="Lucida Sans"/>
    </w:rPr>
  </w:style>
  <w:style w:type="paragraph" w:styleId="afd">
    <w:name w:val="caption"/>
    <w:basedOn w:val="a"/>
    <w:qFormat/>
    <w:pPr>
      <w:suppressLineNumbers/>
      <w:spacing w:before="120" w:after="120"/>
    </w:pPr>
    <w:rPr>
      <w:rFonts w:cs="Lucida Sans"/>
      <w:i/>
      <w:iCs/>
      <w:sz w:val="24"/>
      <w:szCs w:val="24"/>
    </w:rPr>
  </w:style>
  <w:style w:type="paragraph" w:customStyle="1" w:styleId="afe">
    <w:name w:val="Покажчик"/>
    <w:basedOn w:val="a"/>
    <w:qFormat/>
    <w:pPr>
      <w:suppressLineNumbers/>
    </w:pPr>
    <w:rPr>
      <w:rFonts w:cs="Lucida Sans"/>
    </w:rPr>
  </w:style>
  <w:style w:type="paragraph" w:styleId="aff">
    <w:name w:val="Balloon Text"/>
    <w:basedOn w:val="a"/>
    <w:uiPriority w:val="99"/>
    <w:semiHidden/>
    <w:unhideWhenUsed/>
    <w:qFormat/>
    <w:pPr>
      <w:spacing w:after="0" w:line="240" w:lineRule="auto"/>
    </w:pPr>
    <w:rPr>
      <w:rFonts w:ascii="Segoe UI" w:hAnsi="Segoe UI" w:cs="Segoe UI"/>
      <w:sz w:val="18"/>
      <w:szCs w:val="18"/>
    </w:rPr>
  </w:style>
  <w:style w:type="paragraph" w:styleId="aff0">
    <w:name w:val="List Paragraph"/>
    <w:basedOn w:val="a"/>
    <w:uiPriority w:val="34"/>
    <w:qFormat/>
    <w:pPr>
      <w:ind w:left="720"/>
      <w:contextualSpacing/>
    </w:pPr>
  </w:style>
  <w:style w:type="paragraph" w:styleId="aff1">
    <w:name w:val="annotation text"/>
    <w:basedOn w:val="a"/>
    <w:uiPriority w:val="99"/>
    <w:unhideWhenUsed/>
    <w:qFormat/>
    <w:pPr>
      <w:spacing w:line="240" w:lineRule="auto"/>
    </w:pPr>
    <w:rPr>
      <w:sz w:val="20"/>
      <w:szCs w:val="20"/>
    </w:rPr>
  </w:style>
  <w:style w:type="paragraph" w:customStyle="1" w:styleId="24">
    <w:name w:val="Оглавление (2)"/>
    <w:basedOn w:val="a"/>
    <w:link w:val="23"/>
    <w:qFormat/>
    <w:pPr>
      <w:widowControl w:val="0"/>
      <w:shd w:val="clear" w:color="auto" w:fill="FFFFFF"/>
      <w:spacing w:after="0" w:line="317" w:lineRule="exact"/>
      <w:jc w:val="both"/>
    </w:pPr>
    <w:rPr>
      <w:rFonts w:ascii="Times New Roman" w:eastAsia="Times New Roman" w:hAnsi="Times New Roman" w:cs="Times New Roman"/>
      <w:b/>
      <w:bCs/>
      <w:sz w:val="28"/>
      <w:szCs w:val="28"/>
      <w:lang w:val="uk-UA"/>
    </w:rPr>
  </w:style>
  <w:style w:type="paragraph" w:styleId="aff2">
    <w:name w:val="Normal (Web)"/>
    <w:basedOn w:val="a"/>
    <w:uiPriority w:val="99"/>
    <w:semiHidden/>
    <w:unhideWhenUsed/>
    <w:qFormat/>
    <w:pPr>
      <w:spacing w:beforeAutospacing="1" w:afterAutospacing="1" w:line="240" w:lineRule="auto"/>
    </w:pPr>
    <w:rPr>
      <w:rFonts w:ascii="Times New Roman" w:eastAsia="Times New Roman" w:hAnsi="Times New Roman" w:cs="Times New Roman"/>
      <w:sz w:val="24"/>
      <w:szCs w:val="24"/>
      <w:lang w:val="uk-UA" w:eastAsia="uk-UA"/>
    </w:rPr>
  </w:style>
  <w:style w:type="paragraph" w:customStyle="1" w:styleId="Arord">
    <w:name w:val="Ar_ord"/>
    <w:basedOn w:val="a"/>
    <w:qFormat/>
    <w:pPr>
      <w:spacing w:after="120" w:line="360" w:lineRule="auto"/>
      <w:jc w:val="both"/>
    </w:pPr>
    <w:rPr>
      <w:sz w:val="28"/>
      <w:lang w:val="uk-UA"/>
    </w:rPr>
  </w:style>
  <w:style w:type="paragraph" w:customStyle="1" w:styleId="ArHead1">
    <w:name w:val="Ar_Head_1"/>
    <w:basedOn w:val="a"/>
    <w:next w:val="Arord"/>
    <w:qFormat/>
    <w:pPr>
      <w:numPr>
        <w:numId w:val="1"/>
      </w:numPr>
      <w:spacing w:after="120" w:line="360" w:lineRule="auto"/>
      <w:jc w:val="both"/>
    </w:pPr>
    <w:rPr>
      <w:b/>
      <w:color w:val="44546A" w:themeColor="text2"/>
      <w:sz w:val="32"/>
      <w:lang w:val="uk-UA"/>
    </w:rPr>
  </w:style>
  <w:style w:type="paragraph" w:customStyle="1" w:styleId="ArHead2">
    <w:name w:val="Ar_Head_2"/>
    <w:basedOn w:val="ArHead1"/>
    <w:next w:val="Arord"/>
    <w:qFormat/>
    <w:pPr>
      <w:numPr>
        <w:ilvl w:val="1"/>
      </w:numPr>
    </w:pPr>
    <w:rPr>
      <w:sz w:val="28"/>
    </w:rPr>
  </w:style>
  <w:style w:type="paragraph" w:customStyle="1" w:styleId="ArHead3">
    <w:name w:val="Ar_Head_3"/>
    <w:basedOn w:val="ArHead2"/>
    <w:next w:val="Arord"/>
    <w:qFormat/>
    <w:pPr>
      <w:numPr>
        <w:ilvl w:val="2"/>
      </w:numPr>
    </w:pPr>
  </w:style>
  <w:style w:type="paragraph" w:customStyle="1" w:styleId="ArPic">
    <w:name w:val="Ar_Pic"/>
    <w:basedOn w:val="Arord"/>
    <w:next w:val="Arord"/>
    <w:qFormat/>
    <w:pPr>
      <w:numPr>
        <w:numId w:val="3"/>
      </w:numPr>
      <w:jc w:val="center"/>
    </w:pPr>
    <w:rPr>
      <w:color w:val="A5A5A5" w:themeColor="accent3"/>
    </w:rPr>
  </w:style>
  <w:style w:type="paragraph" w:customStyle="1" w:styleId="Artblin">
    <w:name w:val="Ar_tbl_in"/>
    <w:basedOn w:val="Arord"/>
    <w:qFormat/>
    <w:pPr>
      <w:spacing w:after="0" w:line="240" w:lineRule="auto"/>
    </w:pPr>
    <w:rPr>
      <w:sz w:val="24"/>
    </w:rPr>
  </w:style>
  <w:style w:type="paragraph" w:customStyle="1" w:styleId="Artblname">
    <w:name w:val="Ar_tbl_name"/>
    <w:basedOn w:val="Arord"/>
    <w:next w:val="Arord"/>
    <w:qFormat/>
    <w:pPr>
      <w:numPr>
        <w:numId w:val="2"/>
      </w:numPr>
      <w:spacing w:after="0" w:line="240" w:lineRule="auto"/>
      <w:ind w:left="0" w:firstLine="0"/>
    </w:pPr>
    <w:rPr>
      <w:color w:val="A5A5A5" w:themeColor="accent3"/>
    </w:rPr>
  </w:style>
  <w:style w:type="paragraph" w:customStyle="1" w:styleId="aff3">
    <w:name w:val="Верхній і нижній колонтитули"/>
    <w:basedOn w:val="a"/>
    <w:qFormat/>
  </w:style>
  <w:style w:type="paragraph" w:styleId="a6">
    <w:name w:val="footer"/>
    <w:basedOn w:val="a"/>
    <w:link w:val="a5"/>
    <w:uiPriority w:val="99"/>
    <w:unhideWhenUsed/>
    <w:pPr>
      <w:tabs>
        <w:tab w:val="center" w:pos="4819"/>
        <w:tab w:val="right" w:pos="9639"/>
      </w:tabs>
      <w:spacing w:after="0" w:line="240" w:lineRule="auto"/>
    </w:pPr>
    <w:rPr>
      <w:lang w:val="uk-UA"/>
    </w:rPr>
  </w:style>
  <w:style w:type="paragraph" w:customStyle="1" w:styleId="Arheadersfooters">
    <w:name w:val="Ar_headers_footers"/>
    <w:basedOn w:val="Arord"/>
    <w:qFormat/>
    <w:rPr>
      <w:sz w:val="18"/>
    </w:rPr>
  </w:style>
  <w:style w:type="paragraph" w:styleId="a8">
    <w:name w:val="footnote text"/>
    <w:basedOn w:val="a"/>
    <w:link w:val="a7"/>
    <w:uiPriority w:val="99"/>
    <w:semiHidden/>
    <w:unhideWhenUsed/>
    <w:pPr>
      <w:spacing w:after="0" w:line="240" w:lineRule="auto"/>
    </w:pPr>
    <w:rPr>
      <w:sz w:val="20"/>
      <w:szCs w:val="20"/>
      <w:lang w:val="uk-UA"/>
    </w:rPr>
  </w:style>
  <w:style w:type="table" w:styleId="aff4">
    <w:name w:val="Table Grid"/>
    <w:basedOn w:val="a1"/>
    <w:uiPriority w:val="59"/>
    <w:rPr>
      <w:sz w:val="20"/>
      <w:szCs w:val="20"/>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1">
    <w:name w:val="Grid Table 1 Light Accent 1"/>
    <w:basedOn w:val="a1"/>
    <w:uiPriority w:val="46"/>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4472C4" w:themeColor="accent1"/>
        </w:tcBorders>
      </w:tcPr>
    </w:tblStylePr>
    <w:tblStylePr w:type="lastRow">
      <w:rPr>
        <w:b/>
        <w:bCs/>
      </w:rPr>
      <w:tblPr/>
      <w:tcPr>
        <w:tcBorders>
          <w:top w:val="single" w:sz="2" w:space="0" w:color="4472C4" w:themeColor="accent1"/>
        </w:tcBorders>
      </w:tcPr>
    </w:tblStylePr>
    <w:tblStylePr w:type="firstCol">
      <w:rPr>
        <w:b/>
        <w:bCs/>
      </w:rPr>
    </w:tblStylePr>
    <w:tblStylePr w:type="lastCol">
      <w:rPr>
        <w:b/>
        <w:bCs/>
      </w:rPr>
    </w:tblStylePr>
  </w:style>
  <w:style w:type="table" w:customStyle="1" w:styleId="GridTable5DarkAccent3">
    <w:name w:val="Grid Table 5 Dark Accent 3"/>
    <w:basedOn w:val="a1"/>
    <w:uiPriority w:val="5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A5A5A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A5A5A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A5A5A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aff5">
    <w:name w:val="header"/>
    <w:basedOn w:val="a"/>
    <w:link w:val="aff6"/>
    <w:uiPriority w:val="99"/>
    <w:unhideWhenUsed/>
    <w:pPr>
      <w:tabs>
        <w:tab w:val="center" w:pos="4819"/>
        <w:tab w:val="right" w:pos="9639"/>
      </w:tabs>
      <w:spacing w:after="0" w:line="240" w:lineRule="auto"/>
    </w:pPr>
  </w:style>
  <w:style w:type="character" w:customStyle="1" w:styleId="aff6">
    <w:name w:val="Верхний колонтитул Знак"/>
    <w:basedOn w:val="a0"/>
    <w:link w:val="aff5"/>
    <w:uiPriority w:val="99"/>
    <w:rPr>
      <w:lang w:val="en-US"/>
    </w:rPr>
  </w:style>
  <w:style w:type="paragraph" w:styleId="aff7">
    <w:name w:val="No Spacing"/>
    <w:link w:val="aff8"/>
    <w:uiPriority w:val="1"/>
    <w:qFormat/>
    <w:rPr>
      <w:rFonts w:eastAsiaTheme="minorEastAsia"/>
      <w:lang w:eastAsia="uk-UA"/>
    </w:rPr>
  </w:style>
  <w:style w:type="character" w:customStyle="1" w:styleId="aff8">
    <w:name w:val="Без интервала Знак"/>
    <w:basedOn w:val="a0"/>
    <w:link w:val="aff7"/>
    <w:uiPriority w:val="1"/>
    <w:rPr>
      <w:rFonts w:eastAsiaTheme="minorEastAsia"/>
      <w:lang w:eastAsia="uk-UA"/>
    </w:rPr>
  </w:style>
  <w:style w:type="character" w:customStyle="1" w:styleId="30">
    <w:name w:val="Заголовок 3 Знак"/>
    <w:basedOn w:val="a0"/>
    <w:link w:val="3"/>
    <w:uiPriority w:val="9"/>
    <w:semiHidden/>
    <w:rPr>
      <w:rFonts w:asciiTheme="majorHAnsi" w:eastAsiaTheme="majorEastAsia" w:hAnsiTheme="majorHAnsi" w:cstheme="majorBidi"/>
      <w:color w:val="1F3763" w:themeColor="accent1" w:themeShade="7F"/>
      <w:sz w:val="24"/>
      <w:szCs w:val="24"/>
      <w:lang w:val="en-US"/>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lang w:val="en-US"/>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lang w:val="en-US"/>
    </w:rPr>
  </w:style>
  <w:style w:type="paragraph" w:styleId="11">
    <w:name w:val="toc 1"/>
    <w:basedOn w:val="a"/>
    <w:next w:val="a"/>
    <w:uiPriority w:val="39"/>
    <w:unhideWhenUsed/>
    <w:pPr>
      <w:spacing w:after="100"/>
    </w:pPr>
  </w:style>
  <w:style w:type="paragraph" w:styleId="25">
    <w:name w:val="toc 2"/>
    <w:basedOn w:val="a"/>
    <w:next w:val="a"/>
    <w:uiPriority w:val="39"/>
    <w:unhideWhenUsed/>
    <w:pPr>
      <w:spacing w:after="100"/>
      <w:ind w:left="220"/>
    </w:pPr>
  </w:style>
  <w:style w:type="paragraph" w:styleId="31">
    <w:name w:val="toc 3"/>
    <w:basedOn w:val="a"/>
    <w:next w:val="a"/>
    <w:uiPriority w:val="39"/>
    <w:unhideWhenUsed/>
    <w:pPr>
      <w:spacing w:after="100"/>
      <w:ind w:left="440"/>
    </w:pPr>
  </w:style>
  <w:style w:type="table" w:customStyle="1" w:styleId="GridTable1Light">
    <w:name w:val="Grid Table 1 Light"/>
    <w:basedOn w:val="a1"/>
    <w:uiPriority w:val="4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PlainTable1">
    <w:name w:val="Plain Table 1"/>
    <w:basedOn w:val="a1"/>
    <w:uiPriority w:val="4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aff9">
    <w:name w:val="footnote reference"/>
    <w:uiPriority w:val="99"/>
    <w:qFormat/>
    <w:rPr>
      <w:position w:val="-1"/>
      <w:vertAlign w:val="superscript"/>
      <w:cs w:val="0"/>
    </w:rPr>
  </w:style>
  <w:style w:type="character" w:customStyle="1" w:styleId="shorttext">
    <w:name w:val="short_text"/>
  </w:style>
  <w:style w:type="table" w:customStyle="1" w:styleId="denkstatt1">
    <w:name w:val="denkstatt1"/>
    <w:basedOn w:val="a1"/>
    <w:next w:val="aff4"/>
    <w:uiPriority w:val="5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Title"/>
    <w:basedOn w:val="a"/>
    <w:next w:val="a"/>
    <w:link w:val="affb"/>
    <w:uiPriority w:val="10"/>
    <w:qFormat/>
    <w:pPr>
      <w:spacing w:after="0" w:line="216" w:lineRule="auto"/>
      <w:contextualSpacing/>
    </w:pPr>
    <w:rPr>
      <w:rFonts w:asciiTheme="majorHAnsi" w:eastAsiaTheme="majorEastAsia" w:hAnsiTheme="majorHAnsi" w:cstheme="majorBidi"/>
      <w:color w:val="404040" w:themeColor="text1" w:themeTint="BF"/>
      <w:spacing w:val="-10"/>
      <w:sz w:val="56"/>
      <w:szCs w:val="56"/>
      <w:lang w:val="uk-UA" w:eastAsia="uk-UA"/>
    </w:rPr>
  </w:style>
  <w:style w:type="character" w:customStyle="1" w:styleId="affb">
    <w:name w:val="Название Знак"/>
    <w:basedOn w:val="a0"/>
    <w:link w:val="affa"/>
    <w:uiPriority w:val="10"/>
    <w:rPr>
      <w:rFonts w:asciiTheme="majorHAnsi" w:eastAsiaTheme="majorEastAsia" w:hAnsiTheme="majorHAnsi" w:cstheme="majorBidi"/>
      <w:color w:val="404040" w:themeColor="text1" w:themeTint="BF"/>
      <w:spacing w:val="-10"/>
      <w:sz w:val="56"/>
      <w:szCs w:val="56"/>
      <w:lang w:eastAsia="uk-UA"/>
    </w:rPr>
  </w:style>
  <w:style w:type="paragraph" w:styleId="affc">
    <w:name w:val="Subtitle"/>
    <w:basedOn w:val="a"/>
    <w:next w:val="a"/>
    <w:link w:val="affd"/>
    <w:uiPriority w:val="11"/>
    <w:qFormat/>
    <w:pPr>
      <w:numPr>
        <w:ilvl w:val="1"/>
      </w:numPr>
    </w:pPr>
    <w:rPr>
      <w:rFonts w:eastAsiaTheme="minorEastAsia" w:cs="Times New Roman"/>
      <w:color w:val="5A5A5A" w:themeColor="text1" w:themeTint="A5"/>
      <w:spacing w:val="15"/>
      <w:lang w:val="uk-UA" w:eastAsia="uk-UA"/>
    </w:rPr>
  </w:style>
  <w:style w:type="character" w:customStyle="1" w:styleId="affd">
    <w:name w:val="Подзаголовок Знак"/>
    <w:basedOn w:val="a0"/>
    <w:link w:val="affc"/>
    <w:uiPriority w:val="11"/>
    <w:rPr>
      <w:rFonts w:eastAsiaTheme="minorEastAsia" w:cs="Times New Roman"/>
      <w:color w:val="5A5A5A" w:themeColor="text1" w:themeTint="A5"/>
      <w:spacing w:val="15"/>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lang w:val="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5">
    <w:name w:val="Нижний колонтитул Знак"/>
    <w:link w:val="a6"/>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a1"/>
    <w:uiPriority w:val="99"/>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a1"/>
    <w:uiPriority w:val="99"/>
    <w:rPr>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rPr>
      <w:color w:val="404040"/>
      <w:sz w:val="20"/>
      <w:szCs w:val="20"/>
      <w:lang w:val="ru-RU"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a1"/>
    <w:uiPriority w:val="99"/>
    <w:rPr>
      <w:color w:val="404040"/>
      <w:sz w:val="20"/>
      <w:szCs w:val="20"/>
      <w:lang w:val="ru-RU"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a1"/>
    <w:uiPriority w:val="99"/>
    <w:rPr>
      <w:color w:val="404040"/>
      <w:sz w:val="20"/>
      <w:szCs w:val="20"/>
      <w:lang w:val="ru-RU"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a1"/>
    <w:uiPriority w:val="99"/>
    <w:rPr>
      <w:color w:val="404040"/>
      <w:sz w:val="20"/>
      <w:szCs w:val="20"/>
      <w:lang w:val="ru-RU"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a1"/>
    <w:uiPriority w:val="99"/>
    <w:rPr>
      <w:color w:val="404040"/>
      <w:sz w:val="20"/>
      <w:szCs w:val="20"/>
      <w:lang w:val="ru-RU"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a1"/>
    <w:uiPriority w:val="99"/>
    <w:rPr>
      <w:color w:val="404040"/>
      <w:sz w:val="20"/>
      <w:szCs w:val="20"/>
      <w:lang w:val="ru-RU"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a7">
    <w:name w:val="Текст сноски Знак"/>
    <w:link w:val="a8"/>
    <w:uiPriority w:val="99"/>
    <w:rPr>
      <w:sz w:val="18"/>
    </w:rPr>
  </w:style>
  <w:style w:type="paragraph" w:styleId="a9">
    <w:name w:val="endnote text"/>
    <w:basedOn w:val="a"/>
    <w:link w:val="aa"/>
    <w:uiPriority w:val="99"/>
    <w:semiHidden/>
    <w:unhideWhenUsed/>
    <w:pPr>
      <w:spacing w:after="0" w:line="240" w:lineRule="auto"/>
    </w:pPr>
    <w:rPr>
      <w:sz w:val="20"/>
    </w:rPr>
  </w:style>
  <w:style w:type="character" w:customStyle="1" w:styleId="aa">
    <w:name w:val="Текст концевой сноски Знак"/>
    <w:link w:val="a9"/>
    <w:uiPriority w:val="99"/>
    <w:rPr>
      <w:sz w:val="20"/>
    </w:rPr>
  </w:style>
  <w:style w:type="character" w:styleId="ab">
    <w:name w:val="endnote reference"/>
    <w:basedOn w:val="a0"/>
    <w:uiPriority w:val="99"/>
    <w:semiHidden/>
    <w:unhideWhenUsed/>
    <w:rPr>
      <w:vertAlign w:val="superscript"/>
    </w:r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c">
    <w:name w:val="TOC Heading"/>
    <w:uiPriority w:val="39"/>
    <w:unhideWhenUsed/>
  </w:style>
  <w:style w:type="paragraph" w:styleId="ad">
    <w:name w:val="table of figures"/>
    <w:basedOn w:val="a"/>
    <w:next w:val="a"/>
    <w:uiPriority w:val="99"/>
    <w:unhideWhenUsed/>
    <w:pPr>
      <w:spacing w:after="0"/>
    </w:pPr>
  </w:style>
  <w:style w:type="character" w:customStyle="1" w:styleId="ae">
    <w:name w:val="Текст у виносці Знак"/>
    <w:basedOn w:val="a0"/>
    <w:uiPriority w:val="99"/>
    <w:semiHidden/>
    <w:qFormat/>
    <w:rPr>
      <w:rFonts w:ascii="Segoe UI" w:hAnsi="Segoe UI" w:cs="Segoe UI"/>
      <w:sz w:val="18"/>
      <w:szCs w:val="18"/>
    </w:rPr>
  </w:style>
  <w:style w:type="character" w:styleId="af">
    <w:name w:val="annotation reference"/>
    <w:basedOn w:val="a0"/>
    <w:uiPriority w:val="99"/>
    <w:semiHidden/>
    <w:unhideWhenUsed/>
    <w:qFormat/>
    <w:rPr>
      <w:sz w:val="16"/>
      <w:szCs w:val="16"/>
    </w:rPr>
  </w:style>
  <w:style w:type="character" w:customStyle="1" w:styleId="af0">
    <w:name w:val="Текст примітки Знак"/>
    <w:basedOn w:val="a0"/>
    <w:uiPriority w:val="99"/>
    <w:qFormat/>
    <w:rPr>
      <w:sz w:val="20"/>
      <w:szCs w:val="20"/>
      <w:lang w:val="en-US"/>
    </w:rPr>
  </w:style>
  <w:style w:type="character" w:customStyle="1" w:styleId="af1">
    <w:name w:val="Основний текст Знак"/>
    <w:basedOn w:val="a0"/>
    <w:uiPriority w:val="99"/>
    <w:qFormat/>
    <w:rPr>
      <w:rFonts w:ascii="Times New Roman" w:eastAsia="Times New Roman" w:hAnsi="Times New Roman" w:cs="Times New Roman"/>
      <w:sz w:val="24"/>
      <w:szCs w:val="24"/>
      <w:lang w:val="ru-RU" w:eastAsia="ru-RU"/>
    </w:rPr>
  </w:style>
  <w:style w:type="character" w:customStyle="1" w:styleId="23">
    <w:name w:val="Оглавление (2)_"/>
    <w:basedOn w:val="a0"/>
    <w:link w:val="24"/>
    <w:qFormat/>
    <w:rPr>
      <w:rFonts w:ascii="Times New Roman" w:eastAsia="Times New Roman" w:hAnsi="Times New Roman" w:cs="Times New Roman"/>
      <w:b/>
      <w:bCs/>
      <w:sz w:val="28"/>
      <w:szCs w:val="28"/>
      <w:shd w:val="clear" w:color="auto" w:fill="FFFFFF"/>
    </w:rPr>
  </w:style>
  <w:style w:type="character" w:customStyle="1" w:styleId="af2">
    <w:name w:val="Абзац списку Знак"/>
    <w:uiPriority w:val="34"/>
    <w:qFormat/>
    <w:rPr>
      <w:lang w:val="en-US"/>
    </w:rPr>
  </w:style>
  <w:style w:type="character" w:styleId="af3">
    <w:name w:val="Hyperlink"/>
    <w:basedOn w:val="a0"/>
    <w:uiPriority w:val="99"/>
    <w:unhideWhenUsed/>
    <w:rPr>
      <w:color w:val="0563C1" w:themeColor="hyperlink"/>
      <w:u w:val="single"/>
    </w:rPr>
  </w:style>
  <w:style w:type="character" w:customStyle="1" w:styleId="af4">
    <w:name w:val="Нижній колонтитул Знак"/>
    <w:basedOn w:val="a0"/>
    <w:uiPriority w:val="99"/>
    <w:qFormat/>
  </w:style>
  <w:style w:type="character" w:customStyle="1" w:styleId="rvts23">
    <w:name w:val="rvts23"/>
    <w:basedOn w:val="a0"/>
    <w:qFormat/>
  </w:style>
  <w:style w:type="character" w:customStyle="1" w:styleId="af5">
    <w:name w:val="Текст виноски Знак"/>
    <w:basedOn w:val="a0"/>
    <w:uiPriority w:val="99"/>
    <w:semiHidden/>
    <w:qFormat/>
    <w:rPr>
      <w:sz w:val="20"/>
      <w:szCs w:val="20"/>
    </w:rPr>
  </w:style>
  <w:style w:type="character" w:customStyle="1" w:styleId="af6">
    <w:name w:val="Прив'язка виноски"/>
    <w:rPr>
      <w:vertAlign w:val="superscript"/>
    </w:rPr>
  </w:style>
  <w:style w:type="character" w:customStyle="1" w:styleId="FootnoteCharacters">
    <w:name w:val="Footnote Characters"/>
    <w:basedOn w:val="a0"/>
    <w:uiPriority w:val="99"/>
    <w:semiHidden/>
    <w:unhideWhenUsed/>
    <w:qFormat/>
    <w:rPr>
      <w:vertAlign w:val="superscript"/>
    </w:rPr>
  </w:style>
  <w:style w:type="character" w:customStyle="1" w:styleId="af7">
    <w:name w:val="Символи виноски"/>
    <w:qFormat/>
  </w:style>
  <w:style w:type="character" w:customStyle="1" w:styleId="af8">
    <w:name w:val="Прив'язка кінцевої виноски"/>
    <w:rPr>
      <w:vertAlign w:val="superscript"/>
    </w:rPr>
  </w:style>
  <w:style w:type="character" w:customStyle="1" w:styleId="af9">
    <w:name w:val="Символи кінцевої виноски"/>
    <w:qFormat/>
  </w:style>
  <w:style w:type="paragraph" w:customStyle="1" w:styleId="afa">
    <w:name w:val="Заголовок"/>
    <w:basedOn w:val="a"/>
    <w:next w:val="afb"/>
    <w:qFormat/>
    <w:pPr>
      <w:keepNext/>
      <w:spacing w:before="240" w:after="120"/>
    </w:pPr>
    <w:rPr>
      <w:rFonts w:ascii="Liberation Sans" w:eastAsia="Microsoft YaHei" w:hAnsi="Liberation Sans" w:cs="Lucida Sans"/>
      <w:sz w:val="28"/>
      <w:szCs w:val="28"/>
    </w:rPr>
  </w:style>
  <w:style w:type="paragraph" w:styleId="afb">
    <w:name w:val="Body Text"/>
    <w:basedOn w:val="a"/>
    <w:uiPriority w:val="99"/>
    <w:unhideWhenUsed/>
    <w:pPr>
      <w:spacing w:after="120" w:line="240" w:lineRule="auto"/>
    </w:pPr>
    <w:rPr>
      <w:rFonts w:ascii="Times New Roman" w:eastAsia="Times New Roman" w:hAnsi="Times New Roman" w:cs="Times New Roman"/>
      <w:sz w:val="24"/>
      <w:szCs w:val="24"/>
      <w:lang w:val="ru-RU" w:eastAsia="ru-RU"/>
    </w:rPr>
  </w:style>
  <w:style w:type="paragraph" w:styleId="afc">
    <w:name w:val="List"/>
    <w:basedOn w:val="afb"/>
    <w:rPr>
      <w:rFonts w:cs="Lucida Sans"/>
    </w:rPr>
  </w:style>
  <w:style w:type="paragraph" w:styleId="afd">
    <w:name w:val="caption"/>
    <w:basedOn w:val="a"/>
    <w:qFormat/>
    <w:pPr>
      <w:suppressLineNumbers/>
      <w:spacing w:before="120" w:after="120"/>
    </w:pPr>
    <w:rPr>
      <w:rFonts w:cs="Lucida Sans"/>
      <w:i/>
      <w:iCs/>
      <w:sz w:val="24"/>
      <w:szCs w:val="24"/>
    </w:rPr>
  </w:style>
  <w:style w:type="paragraph" w:customStyle="1" w:styleId="afe">
    <w:name w:val="Покажчик"/>
    <w:basedOn w:val="a"/>
    <w:qFormat/>
    <w:pPr>
      <w:suppressLineNumbers/>
    </w:pPr>
    <w:rPr>
      <w:rFonts w:cs="Lucida Sans"/>
    </w:rPr>
  </w:style>
  <w:style w:type="paragraph" w:styleId="aff">
    <w:name w:val="Balloon Text"/>
    <w:basedOn w:val="a"/>
    <w:uiPriority w:val="99"/>
    <w:semiHidden/>
    <w:unhideWhenUsed/>
    <w:qFormat/>
    <w:pPr>
      <w:spacing w:after="0" w:line="240" w:lineRule="auto"/>
    </w:pPr>
    <w:rPr>
      <w:rFonts w:ascii="Segoe UI" w:hAnsi="Segoe UI" w:cs="Segoe UI"/>
      <w:sz w:val="18"/>
      <w:szCs w:val="18"/>
    </w:rPr>
  </w:style>
  <w:style w:type="paragraph" w:styleId="aff0">
    <w:name w:val="List Paragraph"/>
    <w:basedOn w:val="a"/>
    <w:uiPriority w:val="34"/>
    <w:qFormat/>
    <w:pPr>
      <w:ind w:left="720"/>
      <w:contextualSpacing/>
    </w:pPr>
  </w:style>
  <w:style w:type="paragraph" w:styleId="aff1">
    <w:name w:val="annotation text"/>
    <w:basedOn w:val="a"/>
    <w:uiPriority w:val="99"/>
    <w:unhideWhenUsed/>
    <w:qFormat/>
    <w:pPr>
      <w:spacing w:line="240" w:lineRule="auto"/>
    </w:pPr>
    <w:rPr>
      <w:sz w:val="20"/>
      <w:szCs w:val="20"/>
    </w:rPr>
  </w:style>
  <w:style w:type="paragraph" w:customStyle="1" w:styleId="24">
    <w:name w:val="Оглавление (2)"/>
    <w:basedOn w:val="a"/>
    <w:link w:val="23"/>
    <w:qFormat/>
    <w:pPr>
      <w:widowControl w:val="0"/>
      <w:shd w:val="clear" w:color="auto" w:fill="FFFFFF"/>
      <w:spacing w:after="0" w:line="317" w:lineRule="exact"/>
      <w:jc w:val="both"/>
    </w:pPr>
    <w:rPr>
      <w:rFonts w:ascii="Times New Roman" w:eastAsia="Times New Roman" w:hAnsi="Times New Roman" w:cs="Times New Roman"/>
      <w:b/>
      <w:bCs/>
      <w:sz w:val="28"/>
      <w:szCs w:val="28"/>
      <w:lang w:val="uk-UA"/>
    </w:rPr>
  </w:style>
  <w:style w:type="paragraph" w:styleId="aff2">
    <w:name w:val="Normal (Web)"/>
    <w:basedOn w:val="a"/>
    <w:uiPriority w:val="99"/>
    <w:semiHidden/>
    <w:unhideWhenUsed/>
    <w:qFormat/>
    <w:pPr>
      <w:spacing w:beforeAutospacing="1" w:afterAutospacing="1" w:line="240" w:lineRule="auto"/>
    </w:pPr>
    <w:rPr>
      <w:rFonts w:ascii="Times New Roman" w:eastAsia="Times New Roman" w:hAnsi="Times New Roman" w:cs="Times New Roman"/>
      <w:sz w:val="24"/>
      <w:szCs w:val="24"/>
      <w:lang w:val="uk-UA" w:eastAsia="uk-UA"/>
    </w:rPr>
  </w:style>
  <w:style w:type="paragraph" w:customStyle="1" w:styleId="Arord">
    <w:name w:val="Ar_ord"/>
    <w:basedOn w:val="a"/>
    <w:qFormat/>
    <w:pPr>
      <w:spacing w:after="120" w:line="360" w:lineRule="auto"/>
      <w:jc w:val="both"/>
    </w:pPr>
    <w:rPr>
      <w:sz w:val="28"/>
      <w:lang w:val="uk-UA"/>
    </w:rPr>
  </w:style>
  <w:style w:type="paragraph" w:customStyle="1" w:styleId="ArHead1">
    <w:name w:val="Ar_Head_1"/>
    <w:basedOn w:val="a"/>
    <w:next w:val="Arord"/>
    <w:qFormat/>
    <w:pPr>
      <w:numPr>
        <w:numId w:val="1"/>
      </w:numPr>
      <w:spacing w:after="120" w:line="360" w:lineRule="auto"/>
      <w:jc w:val="both"/>
    </w:pPr>
    <w:rPr>
      <w:b/>
      <w:color w:val="44546A" w:themeColor="text2"/>
      <w:sz w:val="32"/>
      <w:lang w:val="uk-UA"/>
    </w:rPr>
  </w:style>
  <w:style w:type="paragraph" w:customStyle="1" w:styleId="ArHead2">
    <w:name w:val="Ar_Head_2"/>
    <w:basedOn w:val="ArHead1"/>
    <w:next w:val="Arord"/>
    <w:qFormat/>
    <w:pPr>
      <w:numPr>
        <w:ilvl w:val="1"/>
      </w:numPr>
    </w:pPr>
    <w:rPr>
      <w:sz w:val="28"/>
    </w:rPr>
  </w:style>
  <w:style w:type="paragraph" w:customStyle="1" w:styleId="ArHead3">
    <w:name w:val="Ar_Head_3"/>
    <w:basedOn w:val="ArHead2"/>
    <w:next w:val="Arord"/>
    <w:qFormat/>
    <w:pPr>
      <w:numPr>
        <w:ilvl w:val="2"/>
      </w:numPr>
    </w:pPr>
  </w:style>
  <w:style w:type="paragraph" w:customStyle="1" w:styleId="ArPic">
    <w:name w:val="Ar_Pic"/>
    <w:basedOn w:val="Arord"/>
    <w:next w:val="Arord"/>
    <w:qFormat/>
    <w:pPr>
      <w:numPr>
        <w:numId w:val="3"/>
      </w:numPr>
      <w:jc w:val="center"/>
    </w:pPr>
    <w:rPr>
      <w:color w:val="A5A5A5" w:themeColor="accent3"/>
    </w:rPr>
  </w:style>
  <w:style w:type="paragraph" w:customStyle="1" w:styleId="Artblin">
    <w:name w:val="Ar_tbl_in"/>
    <w:basedOn w:val="Arord"/>
    <w:qFormat/>
    <w:pPr>
      <w:spacing w:after="0" w:line="240" w:lineRule="auto"/>
    </w:pPr>
    <w:rPr>
      <w:sz w:val="24"/>
    </w:rPr>
  </w:style>
  <w:style w:type="paragraph" w:customStyle="1" w:styleId="Artblname">
    <w:name w:val="Ar_tbl_name"/>
    <w:basedOn w:val="Arord"/>
    <w:next w:val="Arord"/>
    <w:qFormat/>
    <w:pPr>
      <w:numPr>
        <w:numId w:val="2"/>
      </w:numPr>
      <w:spacing w:after="0" w:line="240" w:lineRule="auto"/>
      <w:ind w:left="0" w:firstLine="0"/>
    </w:pPr>
    <w:rPr>
      <w:color w:val="A5A5A5" w:themeColor="accent3"/>
    </w:rPr>
  </w:style>
  <w:style w:type="paragraph" w:customStyle="1" w:styleId="aff3">
    <w:name w:val="Верхній і нижній колонтитули"/>
    <w:basedOn w:val="a"/>
    <w:qFormat/>
  </w:style>
  <w:style w:type="paragraph" w:styleId="a6">
    <w:name w:val="footer"/>
    <w:basedOn w:val="a"/>
    <w:link w:val="a5"/>
    <w:uiPriority w:val="99"/>
    <w:unhideWhenUsed/>
    <w:pPr>
      <w:tabs>
        <w:tab w:val="center" w:pos="4819"/>
        <w:tab w:val="right" w:pos="9639"/>
      </w:tabs>
      <w:spacing w:after="0" w:line="240" w:lineRule="auto"/>
    </w:pPr>
    <w:rPr>
      <w:lang w:val="uk-UA"/>
    </w:rPr>
  </w:style>
  <w:style w:type="paragraph" w:customStyle="1" w:styleId="Arheadersfooters">
    <w:name w:val="Ar_headers_footers"/>
    <w:basedOn w:val="Arord"/>
    <w:qFormat/>
    <w:rPr>
      <w:sz w:val="18"/>
    </w:rPr>
  </w:style>
  <w:style w:type="paragraph" w:styleId="a8">
    <w:name w:val="footnote text"/>
    <w:basedOn w:val="a"/>
    <w:link w:val="a7"/>
    <w:uiPriority w:val="99"/>
    <w:semiHidden/>
    <w:unhideWhenUsed/>
    <w:pPr>
      <w:spacing w:after="0" w:line="240" w:lineRule="auto"/>
    </w:pPr>
    <w:rPr>
      <w:sz w:val="20"/>
      <w:szCs w:val="20"/>
      <w:lang w:val="uk-UA"/>
    </w:rPr>
  </w:style>
  <w:style w:type="table" w:styleId="aff4">
    <w:name w:val="Table Grid"/>
    <w:basedOn w:val="a1"/>
    <w:uiPriority w:val="59"/>
    <w:rPr>
      <w:sz w:val="20"/>
      <w:szCs w:val="20"/>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1">
    <w:name w:val="Grid Table 1 Light Accent 1"/>
    <w:basedOn w:val="a1"/>
    <w:uiPriority w:val="46"/>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4472C4" w:themeColor="accent1"/>
        </w:tcBorders>
      </w:tcPr>
    </w:tblStylePr>
    <w:tblStylePr w:type="lastRow">
      <w:rPr>
        <w:b/>
        <w:bCs/>
      </w:rPr>
      <w:tblPr/>
      <w:tcPr>
        <w:tcBorders>
          <w:top w:val="single" w:sz="2" w:space="0" w:color="4472C4" w:themeColor="accent1"/>
        </w:tcBorders>
      </w:tcPr>
    </w:tblStylePr>
    <w:tblStylePr w:type="firstCol">
      <w:rPr>
        <w:b/>
        <w:bCs/>
      </w:rPr>
    </w:tblStylePr>
    <w:tblStylePr w:type="lastCol">
      <w:rPr>
        <w:b/>
        <w:bCs/>
      </w:rPr>
    </w:tblStylePr>
  </w:style>
  <w:style w:type="table" w:customStyle="1" w:styleId="GridTable5DarkAccent3">
    <w:name w:val="Grid Table 5 Dark Accent 3"/>
    <w:basedOn w:val="a1"/>
    <w:uiPriority w:val="5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A5A5A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A5A5A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A5A5A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aff5">
    <w:name w:val="header"/>
    <w:basedOn w:val="a"/>
    <w:link w:val="aff6"/>
    <w:uiPriority w:val="99"/>
    <w:unhideWhenUsed/>
    <w:pPr>
      <w:tabs>
        <w:tab w:val="center" w:pos="4819"/>
        <w:tab w:val="right" w:pos="9639"/>
      </w:tabs>
      <w:spacing w:after="0" w:line="240" w:lineRule="auto"/>
    </w:pPr>
  </w:style>
  <w:style w:type="character" w:customStyle="1" w:styleId="aff6">
    <w:name w:val="Верхний колонтитул Знак"/>
    <w:basedOn w:val="a0"/>
    <w:link w:val="aff5"/>
    <w:uiPriority w:val="99"/>
    <w:rPr>
      <w:lang w:val="en-US"/>
    </w:rPr>
  </w:style>
  <w:style w:type="paragraph" w:styleId="aff7">
    <w:name w:val="No Spacing"/>
    <w:link w:val="aff8"/>
    <w:uiPriority w:val="1"/>
    <w:qFormat/>
    <w:rPr>
      <w:rFonts w:eastAsiaTheme="minorEastAsia"/>
      <w:lang w:eastAsia="uk-UA"/>
    </w:rPr>
  </w:style>
  <w:style w:type="character" w:customStyle="1" w:styleId="aff8">
    <w:name w:val="Без интервала Знак"/>
    <w:basedOn w:val="a0"/>
    <w:link w:val="aff7"/>
    <w:uiPriority w:val="1"/>
    <w:rPr>
      <w:rFonts w:eastAsiaTheme="minorEastAsia"/>
      <w:lang w:eastAsia="uk-UA"/>
    </w:rPr>
  </w:style>
  <w:style w:type="character" w:customStyle="1" w:styleId="30">
    <w:name w:val="Заголовок 3 Знак"/>
    <w:basedOn w:val="a0"/>
    <w:link w:val="3"/>
    <w:uiPriority w:val="9"/>
    <w:semiHidden/>
    <w:rPr>
      <w:rFonts w:asciiTheme="majorHAnsi" w:eastAsiaTheme="majorEastAsia" w:hAnsiTheme="majorHAnsi" w:cstheme="majorBidi"/>
      <w:color w:val="1F3763" w:themeColor="accent1" w:themeShade="7F"/>
      <w:sz w:val="24"/>
      <w:szCs w:val="24"/>
      <w:lang w:val="en-US"/>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lang w:val="en-US"/>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lang w:val="en-US"/>
    </w:rPr>
  </w:style>
  <w:style w:type="paragraph" w:styleId="11">
    <w:name w:val="toc 1"/>
    <w:basedOn w:val="a"/>
    <w:next w:val="a"/>
    <w:uiPriority w:val="39"/>
    <w:unhideWhenUsed/>
    <w:pPr>
      <w:spacing w:after="100"/>
    </w:pPr>
  </w:style>
  <w:style w:type="paragraph" w:styleId="25">
    <w:name w:val="toc 2"/>
    <w:basedOn w:val="a"/>
    <w:next w:val="a"/>
    <w:uiPriority w:val="39"/>
    <w:unhideWhenUsed/>
    <w:pPr>
      <w:spacing w:after="100"/>
      <w:ind w:left="220"/>
    </w:pPr>
  </w:style>
  <w:style w:type="paragraph" w:styleId="31">
    <w:name w:val="toc 3"/>
    <w:basedOn w:val="a"/>
    <w:next w:val="a"/>
    <w:uiPriority w:val="39"/>
    <w:unhideWhenUsed/>
    <w:pPr>
      <w:spacing w:after="100"/>
      <w:ind w:left="440"/>
    </w:pPr>
  </w:style>
  <w:style w:type="table" w:customStyle="1" w:styleId="GridTable1Light">
    <w:name w:val="Grid Table 1 Light"/>
    <w:basedOn w:val="a1"/>
    <w:uiPriority w:val="4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PlainTable1">
    <w:name w:val="Plain Table 1"/>
    <w:basedOn w:val="a1"/>
    <w:uiPriority w:val="4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aff9">
    <w:name w:val="footnote reference"/>
    <w:uiPriority w:val="99"/>
    <w:qFormat/>
    <w:rPr>
      <w:position w:val="-1"/>
      <w:vertAlign w:val="superscript"/>
      <w:cs w:val="0"/>
    </w:rPr>
  </w:style>
  <w:style w:type="character" w:customStyle="1" w:styleId="shorttext">
    <w:name w:val="short_text"/>
  </w:style>
  <w:style w:type="table" w:customStyle="1" w:styleId="denkstatt1">
    <w:name w:val="denkstatt1"/>
    <w:basedOn w:val="a1"/>
    <w:next w:val="aff4"/>
    <w:uiPriority w:val="5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Title"/>
    <w:basedOn w:val="a"/>
    <w:next w:val="a"/>
    <w:link w:val="affb"/>
    <w:uiPriority w:val="10"/>
    <w:qFormat/>
    <w:pPr>
      <w:spacing w:after="0" w:line="216" w:lineRule="auto"/>
      <w:contextualSpacing/>
    </w:pPr>
    <w:rPr>
      <w:rFonts w:asciiTheme="majorHAnsi" w:eastAsiaTheme="majorEastAsia" w:hAnsiTheme="majorHAnsi" w:cstheme="majorBidi"/>
      <w:color w:val="404040" w:themeColor="text1" w:themeTint="BF"/>
      <w:spacing w:val="-10"/>
      <w:sz w:val="56"/>
      <w:szCs w:val="56"/>
      <w:lang w:val="uk-UA" w:eastAsia="uk-UA"/>
    </w:rPr>
  </w:style>
  <w:style w:type="character" w:customStyle="1" w:styleId="affb">
    <w:name w:val="Название Знак"/>
    <w:basedOn w:val="a0"/>
    <w:link w:val="affa"/>
    <w:uiPriority w:val="10"/>
    <w:rPr>
      <w:rFonts w:asciiTheme="majorHAnsi" w:eastAsiaTheme="majorEastAsia" w:hAnsiTheme="majorHAnsi" w:cstheme="majorBidi"/>
      <w:color w:val="404040" w:themeColor="text1" w:themeTint="BF"/>
      <w:spacing w:val="-10"/>
      <w:sz w:val="56"/>
      <w:szCs w:val="56"/>
      <w:lang w:eastAsia="uk-UA"/>
    </w:rPr>
  </w:style>
  <w:style w:type="paragraph" w:styleId="affc">
    <w:name w:val="Subtitle"/>
    <w:basedOn w:val="a"/>
    <w:next w:val="a"/>
    <w:link w:val="affd"/>
    <w:uiPriority w:val="11"/>
    <w:qFormat/>
    <w:pPr>
      <w:numPr>
        <w:ilvl w:val="1"/>
      </w:numPr>
    </w:pPr>
    <w:rPr>
      <w:rFonts w:eastAsiaTheme="minorEastAsia" w:cs="Times New Roman"/>
      <w:color w:val="5A5A5A" w:themeColor="text1" w:themeTint="A5"/>
      <w:spacing w:val="15"/>
      <w:lang w:val="uk-UA" w:eastAsia="uk-UA"/>
    </w:rPr>
  </w:style>
  <w:style w:type="character" w:customStyle="1" w:styleId="affd">
    <w:name w:val="Подзаголовок Знак"/>
    <w:basedOn w:val="a0"/>
    <w:link w:val="affc"/>
    <w:uiPriority w:val="11"/>
    <w:rPr>
      <w:rFonts w:eastAsiaTheme="minorEastAsia" w:cs="Times New Roman"/>
      <w:color w:val="5A5A5A" w:themeColor="text1" w:themeTint="A5"/>
      <w:spacing w:val="15"/>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3.png"/><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image" Target="media/image4.pn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chart" Target="charts/chart41.xml"/><Relationship Id="rId68" Type="http://schemas.openxmlformats.org/officeDocument/2006/relationships/chart" Target="charts/chart46.xml"/><Relationship Id="rId76" Type="http://schemas.openxmlformats.org/officeDocument/2006/relationships/hyperlink" Target="https://zakon.rada.gov.ua/laws/show/569-2017-%D1%80" TargetMode="External"/><Relationship Id="rId84" Type="http://schemas.openxmlformats.org/officeDocument/2006/relationships/image" Target="media/image7.png"/><Relationship Id="rId89" Type="http://schemas.openxmlformats.org/officeDocument/2006/relationships/image" Target="media/image90.png"/><Relationship Id="rId7" Type="http://schemas.openxmlformats.org/officeDocument/2006/relationships/settings" Target="settings.xml"/><Relationship Id="rId71" Type="http://schemas.openxmlformats.org/officeDocument/2006/relationships/chart" Target="charts/chart49.xml"/><Relationship Id="rId92"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7.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chart" Target="charts/chart44.xml"/><Relationship Id="rId74" Type="http://schemas.openxmlformats.org/officeDocument/2006/relationships/hyperlink" Target="https://zakon.rada.gov.ua/laws/show/605-2017-%D1%80" TargetMode="External"/><Relationship Id="rId79" Type="http://schemas.openxmlformats.org/officeDocument/2006/relationships/hyperlink" Target="https://zakon.rada.gov.ua/laws/show/868-2021-%D1%80" TargetMode="External"/><Relationship Id="rId87" Type="http://schemas.openxmlformats.org/officeDocument/2006/relationships/image" Target="media/image80.png"/><Relationship Id="rId5" Type="http://schemas.openxmlformats.org/officeDocument/2006/relationships/styles" Target="styles.xml"/><Relationship Id="rId61" Type="http://schemas.openxmlformats.org/officeDocument/2006/relationships/chart" Target="charts/chart39.xml"/><Relationship Id="rId82" Type="http://schemas.openxmlformats.org/officeDocument/2006/relationships/image" Target="media/image6.png"/><Relationship Id="rId90" Type="http://schemas.openxmlformats.org/officeDocument/2006/relationships/image" Target="media/image10.png"/><Relationship Id="rId95" Type="http://schemas.openxmlformats.org/officeDocument/2006/relationships/fontTable" Target="fontTable.xml"/><Relationship Id="rId19" Type="http://schemas.openxmlformats.org/officeDocument/2006/relationships/image" Target="media/image30.png"/><Relationship Id="rId22" Type="http://schemas.openxmlformats.org/officeDocument/2006/relationships/image" Target="media/image40.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chart" Target="charts/chart42.xml"/><Relationship Id="rId69" Type="http://schemas.openxmlformats.org/officeDocument/2006/relationships/chart" Target="charts/chart47.xml"/><Relationship Id="rId77" Type="http://schemas.openxmlformats.org/officeDocument/2006/relationships/hyperlink" Target="https://zakon.rada.gov.ua/laws/show/1803-2021-%D1%80%22%20/l%20%22Text" TargetMode="External"/><Relationship Id="rId8" Type="http://schemas.openxmlformats.org/officeDocument/2006/relationships/webSettings" Target="webSettings.xml"/><Relationship Id="rId51" Type="http://schemas.openxmlformats.org/officeDocument/2006/relationships/chart" Target="charts/chart29.xml"/><Relationship Id="rId72" Type="http://schemas.openxmlformats.org/officeDocument/2006/relationships/header" Target="header1.xml"/><Relationship Id="rId80" Type="http://schemas.openxmlformats.org/officeDocument/2006/relationships/image" Target="media/image5.png"/><Relationship Id="rId85" Type="http://schemas.openxmlformats.org/officeDocument/2006/relationships/image" Target="media/image70.png"/><Relationship Id="rId93" Type="http://schemas.openxmlformats.org/officeDocument/2006/relationships/image" Target="media/image110.png"/><Relationship Id="rId3" Type="http://schemas.openxmlformats.org/officeDocument/2006/relationships/customXml" Target="../customXml/item3.xml"/><Relationship Id="rId17" Type="http://schemas.openxmlformats.org/officeDocument/2006/relationships/image" Target="media/image20.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7.xml"/><Relationship Id="rId67" Type="http://schemas.openxmlformats.org/officeDocument/2006/relationships/chart" Target="charts/chart45.xml"/><Relationship Id="rId20" Type="http://schemas.openxmlformats.org/officeDocument/2006/relationships/hyperlink" Target="https://sankeymatic.com/" TargetMode="Externa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chart" Target="charts/chart48.xml"/><Relationship Id="rId75" Type="http://schemas.openxmlformats.org/officeDocument/2006/relationships/hyperlink" Target="https://zakon.rada.gov.ua/laws/show/88-2020-%D1%80" TargetMode="External"/><Relationship Id="rId83" Type="http://schemas.openxmlformats.org/officeDocument/2006/relationships/image" Target="media/image60.png"/><Relationship Id="rId88" Type="http://schemas.openxmlformats.org/officeDocument/2006/relationships/image" Target="media/image9.png"/><Relationship Id="rId91" Type="http://schemas.openxmlformats.org/officeDocument/2006/relationships/image" Target="media/image100.png"/><Relationship Id="rId9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12.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endnotes" Target="endnotes.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chart" Target="charts/chart43.xml"/><Relationship Id="rId73" Type="http://schemas.openxmlformats.org/officeDocument/2006/relationships/footer" Target="footer1.xml"/><Relationship Id="rId78" Type="http://schemas.openxmlformats.org/officeDocument/2006/relationships/hyperlink" Target="https://zakon.rada.gov.ua/laws/show/430-2018-%D1%80" TargetMode="External"/><Relationship Id="rId81" Type="http://schemas.openxmlformats.org/officeDocument/2006/relationships/image" Target="media/image50.png"/><Relationship Id="rId86" Type="http://schemas.openxmlformats.org/officeDocument/2006/relationships/image" Target="media/image8.png"/><Relationship Id="rId9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1"/>
        <c:ser>
          <c:idx val="0"/>
          <c:order val="0"/>
          <c:tx>
            <c:strRef>
              <c:f>Аркуш1!$B$1</c:f>
              <c:strCache>
                <c:ptCount val="1"/>
                <c:pt idx="0">
                  <c:v>Споживання електроенергії, всього кВт·год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238400</c:v>
                </c:pt>
                <c:pt idx="1">
                  <c:v>191200</c:v>
                </c:pt>
                <c:pt idx="2">
                  <c:v>240000</c:v>
                </c:pt>
                <c:pt idx="3">
                  <c:v>210100</c:v>
                </c:pt>
                <c:pt idx="4">
                  <c:v>192800</c:v>
                </c:pt>
                <c:pt idx="5">
                  <c:v>66000</c:v>
                </c:pt>
                <c:pt idx="6">
                  <c:v>26986</c:v>
                </c:pt>
              </c:numCache>
            </c:numRef>
          </c:val>
        </c:ser>
        <c:dLbls>
          <c:showLegendKey val="0"/>
          <c:showVal val="0"/>
          <c:showCatName val="0"/>
          <c:showSerName val="0"/>
          <c:showPercent val="0"/>
          <c:showBubbleSize val="0"/>
        </c:dLbls>
        <c:axId val="180234880"/>
        <c:axId val="180278016"/>
      </c:areaChart>
      <c:catAx>
        <c:axId val="18023488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uk-UA"/>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180278016"/>
        <c:crosses val="autoZero"/>
        <c:auto val="1"/>
        <c:lblAlgn val="ctr"/>
        <c:lblOffset val="100"/>
        <c:noMultiLvlLbl val="0"/>
      </c:catAx>
      <c:valAx>
        <c:axId val="1802780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uk-UA"/>
                  <a:t>МВт*год</a:t>
                </a:r>
                <a:endParaRPr/>
              </a:p>
            </c:rich>
          </c:tx>
          <c:layout>
            <c:manualLayout>
              <c:xMode val="edge"/>
              <c:yMode val="edge"/>
              <c:x val="2.5870178739416744E-2"/>
              <c:y val="0.29918794329319637"/>
            </c:manualLayout>
          </c:layout>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180234880"/>
        <c:crosses val="autoZero"/>
        <c:crossBetween val="midCat"/>
        <c:dispUnits>
          <c:builtInUnit val="thousands"/>
        </c:dispUnits>
      </c:valAx>
      <c:spPr>
        <a:pattFill prst="ltDnDiag">
          <a:fgClr>
            <a:schemeClr val="dk1">
              <a:lumMod val="15000"/>
              <a:lumOff val="85000"/>
            </a:schemeClr>
          </a:fgClr>
          <a:bgClr>
            <a:schemeClr val="lt1"/>
          </a:bgClr>
        </a:pattFill>
        <a:ln>
          <a:noFill/>
        </a:ln>
        <a:effectLst/>
      </c:spPr>
    </c:plotArea>
    <c:plotVisOnly val="1"/>
    <c:dispBlanksAs val="gap"/>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  Біомаса (дрова)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99.6</c:v>
                </c:pt>
                <c:pt idx="1">
                  <c:v>192.06</c:v>
                </c:pt>
                <c:pt idx="2">
                  <c:v>330.78199999999998</c:v>
                </c:pt>
                <c:pt idx="3">
                  <c:v>194.9</c:v>
                </c:pt>
                <c:pt idx="4">
                  <c:v>428.16</c:v>
                </c:pt>
                <c:pt idx="5">
                  <c:v>660.596</c:v>
                </c:pt>
              </c:numCache>
            </c:numRef>
          </c:val>
        </c:ser>
        <c:ser>
          <c:idx val="1"/>
          <c:order val="1"/>
          <c:tx>
            <c:strRef>
              <c:f>label 1</c:f>
              <c:strCache>
                <c:ptCount val="1"/>
                <c:pt idx="0">
                  <c:v> Електрична енергія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1460.6405866666701</c:v>
                </c:pt>
                <c:pt idx="1">
                  <c:v>1705.42816666667</c:v>
                </c:pt>
                <c:pt idx="2">
                  <c:v>2106.55112333333</c:v>
                </c:pt>
                <c:pt idx="3">
                  <c:v>1827.45624</c:v>
                </c:pt>
                <c:pt idx="4">
                  <c:v>2958.0103633333301</c:v>
                </c:pt>
                <c:pt idx="5">
                  <c:v>2673.8264033333298</c:v>
                </c:pt>
              </c:numCache>
            </c:numRef>
          </c:val>
        </c:ser>
        <c:ser>
          <c:idx val="2"/>
          <c:order val="2"/>
          <c:tx>
            <c:strRef>
              <c:f>label 2</c:f>
              <c:strCache>
                <c:ptCount val="1"/>
                <c:pt idx="0">
                  <c:v>Торфобрикет</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2</c:f>
              <c:numCache>
                <c:formatCode>General</c:formatCode>
                <c:ptCount val="6"/>
                <c:pt idx="0">
                  <c:v>62.1</c:v>
                </c:pt>
                <c:pt idx="1">
                  <c:v>67.900000000000006</c:v>
                </c:pt>
                <c:pt idx="2">
                  <c:v>88.072000000000003</c:v>
                </c:pt>
                <c:pt idx="3">
                  <c:v>48.66</c:v>
                </c:pt>
                <c:pt idx="4">
                  <c:v>94.92</c:v>
                </c:pt>
                <c:pt idx="5">
                  <c:v>52.634</c:v>
                </c:pt>
              </c:numCache>
            </c:numRef>
          </c:val>
        </c:ser>
        <c:ser>
          <c:idx val="3"/>
          <c:order val="3"/>
          <c:tx>
            <c:strRef>
              <c:f>label 3</c:f>
              <c:strCache>
                <c:ptCount val="1"/>
                <c:pt idx="0">
                  <c:v> Природний газ</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3</c:f>
              <c:numCache>
                <c:formatCode>General</c:formatCode>
                <c:ptCount val="6"/>
                <c:pt idx="0">
                  <c:v>657.98800000000006</c:v>
                </c:pt>
                <c:pt idx="1">
                  <c:v>888.17</c:v>
                </c:pt>
                <c:pt idx="2">
                  <c:v>734.76900000000001</c:v>
                </c:pt>
                <c:pt idx="3">
                  <c:v>445.02800000000002</c:v>
                </c:pt>
                <c:pt idx="4">
                  <c:v>315.964</c:v>
                </c:pt>
                <c:pt idx="5">
                  <c:v>227.3</c:v>
                </c:pt>
              </c:numCache>
            </c:numRef>
          </c:val>
        </c:ser>
        <c:ser>
          <c:idx val="4"/>
          <c:order val="4"/>
          <c:tx>
            <c:strRef>
              <c:f>label 4</c:f>
              <c:strCache>
                <c:ptCount val="1"/>
                <c:pt idx="0">
                  <c:v> теплова енергія</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4</c:f>
              <c:numCache>
                <c:formatCode>General</c:formatCode>
                <c:ptCount val="6"/>
                <c:pt idx="0">
                  <c:v>5269.6276733333298</c:v>
                </c:pt>
                <c:pt idx="1">
                  <c:v>8031.6847399999997</c:v>
                </c:pt>
                <c:pt idx="2">
                  <c:v>7259.8612400000002</c:v>
                </c:pt>
                <c:pt idx="3">
                  <c:v>7546.33125666667</c:v>
                </c:pt>
                <c:pt idx="4">
                  <c:v>12146.4066766667</c:v>
                </c:pt>
                <c:pt idx="5">
                  <c:v>14207.9115966667</c:v>
                </c:pt>
              </c:numCache>
            </c:numRef>
          </c:val>
        </c:ser>
        <c:dLbls>
          <c:showLegendKey val="0"/>
          <c:showVal val="0"/>
          <c:showCatName val="0"/>
          <c:showSerName val="0"/>
          <c:showPercent val="0"/>
          <c:showBubbleSize val="0"/>
        </c:dLbls>
        <c:axId val="229144448"/>
        <c:axId val="229167104"/>
      </c:areaChart>
      <c:catAx>
        <c:axId val="229144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9167104"/>
        <c:crosses val="autoZero"/>
        <c:auto val="1"/>
        <c:lblAlgn val="ctr"/>
        <c:lblOffset val="100"/>
        <c:noMultiLvlLbl val="0"/>
      </c:catAx>
      <c:valAx>
        <c:axId val="2291671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9144448"/>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pie3DChart>
        <c:varyColors val="1"/>
        <c:ser>
          <c:idx val="0"/>
          <c:order val="0"/>
          <c:tx>
            <c:strRef>
              <c:f>label 0</c:f>
              <c:strCache>
                <c:ptCount val="1"/>
                <c:pt idx="0">
                  <c:v>Серія1</c:v>
                </c:pt>
              </c:strCache>
            </c:strRef>
          </c:tx>
          <c:spPr>
            <a:solidFill>
              <a:srgbClr val="4472C4"/>
            </a:solidFill>
            <a:ln w="0">
              <a:noFill/>
            </a:ln>
          </c:spPr>
          <c:dPt>
            <c:idx val="0"/>
            <c:bubble3D val="0"/>
            <c:spPr>
              <a:gradFill>
                <a:gsLst>
                  <a:gs pos="0">
                    <a:srgbClr val="6082CA"/>
                  </a:gs>
                  <a:gs pos="100000">
                    <a:srgbClr val="3D6FC9"/>
                  </a:gs>
                </a:gsLst>
                <a:lin ang="5400000" scaled="1"/>
              </a:gradFill>
              <a:ln w="0">
                <a:noFill/>
              </a:ln>
            </c:spPr>
          </c:dPt>
          <c:dPt>
            <c:idx val="1"/>
            <c:bubble3D val="0"/>
            <c:spPr>
              <a:gradFill>
                <a:gsLst>
                  <a:gs pos="0">
                    <a:srgbClr val="F08C56"/>
                  </a:gs>
                  <a:gs pos="100000">
                    <a:srgbClr val="F57A27"/>
                  </a:gs>
                </a:gsLst>
                <a:lin ang="5400000" scaled="1"/>
              </a:gradFill>
              <a:ln w="0">
                <a:noFill/>
              </a:ln>
            </c:spPr>
          </c:dPt>
          <c:dPt>
            <c:idx val="2"/>
            <c:bubble3D val="0"/>
            <c:spPr>
              <a:gradFill>
                <a:gsLst>
                  <a:gs pos="0">
                    <a:srgbClr val="AEAEAE"/>
                  </a:gs>
                  <a:gs pos="100000">
                    <a:srgbClr val="A4A4A4"/>
                  </a:gs>
                </a:gsLst>
                <a:lin ang="5400000" scaled="1"/>
              </a:gradFill>
              <a:ln w="0">
                <a:noFill/>
              </a:ln>
            </c:spPr>
          </c:dPt>
          <c:dPt>
            <c:idx val="3"/>
            <c:bubble3D val="0"/>
            <c:spPr>
              <a:gradFill>
                <a:gsLst>
                  <a:gs pos="0">
                    <a:srgbClr val="FFC54B"/>
                  </a:gs>
                  <a:gs pos="100000">
                    <a:srgbClr val="FFBF00"/>
                  </a:gs>
                </a:gsLst>
                <a:lin ang="5400000" scaled="1"/>
              </a:gradFill>
              <a:ln w="0">
                <a:noFill/>
              </a:ln>
            </c:spPr>
          </c:dPt>
          <c:dPt>
            <c:idx val="4"/>
            <c:bubble3D val="0"/>
            <c:spPr>
              <a:gradFill>
                <a:gsLst>
                  <a:gs pos="0">
                    <a:srgbClr val="71A6DA"/>
                  </a:gs>
                  <a:gs pos="100000">
                    <a:srgbClr val="549ADA"/>
                  </a:gs>
                </a:gsLst>
                <a:lin ang="5400000" scaled="1"/>
              </a:gradFill>
              <a:ln w="0">
                <a:noFill/>
              </a:ln>
            </c:spPr>
          </c:dPt>
          <c:dLbls>
            <c:dLbl>
              <c:idx val="0"/>
              <c:spPr/>
              <c:txPr>
                <a:bodyPr wrap="square"/>
                <a:lstStyle/>
                <a:p>
                  <a:pPr>
                    <a:defRPr sz="1000" b="0" strike="noStrike" spc="-1">
                      <a:solidFill>
                        <a:srgbClr val="44546A"/>
                      </a:solidFill>
                      <a:latin typeface="Calibri"/>
                    </a:defRPr>
                  </a:pPr>
                  <a:endParaRPr lang="ru-RU"/>
                </a:p>
              </c:txPr>
              <c:dLblPos val="bestFit"/>
              <c:showLegendKey val="0"/>
              <c:showVal val="0"/>
              <c:showCatName val="0"/>
              <c:showSerName val="0"/>
              <c:showPercent val="1"/>
              <c:showBubbleSize val="1"/>
            </c:dLbl>
            <c:dLbl>
              <c:idx val="1"/>
              <c:spPr/>
              <c:txPr>
                <a:bodyPr wrap="square"/>
                <a:lstStyle/>
                <a:p>
                  <a:pPr>
                    <a:defRPr sz="1000" b="0" strike="noStrike" spc="-1">
                      <a:solidFill>
                        <a:srgbClr val="44546A"/>
                      </a:solidFill>
                      <a:latin typeface="Calibri"/>
                    </a:defRPr>
                  </a:pPr>
                  <a:endParaRPr lang="ru-RU"/>
                </a:p>
              </c:txPr>
              <c:dLblPos val="bestFit"/>
              <c:showLegendKey val="0"/>
              <c:showVal val="0"/>
              <c:showCatName val="0"/>
              <c:showSerName val="0"/>
              <c:showPercent val="1"/>
              <c:showBubbleSize val="1"/>
            </c:dLbl>
            <c:dLbl>
              <c:idx val="2"/>
              <c:spPr/>
              <c:txPr>
                <a:bodyPr wrap="square"/>
                <a:lstStyle/>
                <a:p>
                  <a:pPr>
                    <a:defRPr sz="1000" b="0" strike="noStrike" spc="-1">
                      <a:solidFill>
                        <a:srgbClr val="44546A"/>
                      </a:solidFill>
                      <a:latin typeface="Calibri"/>
                    </a:defRPr>
                  </a:pPr>
                  <a:endParaRPr lang="ru-RU"/>
                </a:p>
              </c:txPr>
              <c:dLblPos val="bestFit"/>
              <c:showLegendKey val="0"/>
              <c:showVal val="0"/>
              <c:showCatName val="0"/>
              <c:showSerName val="0"/>
              <c:showPercent val="1"/>
              <c:showBubbleSize val="1"/>
            </c:dLbl>
            <c:dLbl>
              <c:idx val="3"/>
              <c:spPr/>
              <c:txPr>
                <a:bodyPr wrap="square"/>
                <a:lstStyle/>
                <a:p>
                  <a:pPr>
                    <a:defRPr sz="1000" b="0" strike="noStrike" spc="-1">
                      <a:solidFill>
                        <a:srgbClr val="44546A"/>
                      </a:solidFill>
                      <a:latin typeface="Calibri"/>
                    </a:defRPr>
                  </a:pPr>
                  <a:endParaRPr lang="ru-RU"/>
                </a:p>
              </c:txPr>
              <c:dLblPos val="bestFit"/>
              <c:showLegendKey val="0"/>
              <c:showVal val="0"/>
              <c:showCatName val="0"/>
              <c:showSerName val="0"/>
              <c:showPercent val="1"/>
              <c:showBubbleSize val="1"/>
            </c:dLbl>
            <c:dLbl>
              <c:idx val="4"/>
              <c:spPr/>
              <c:txPr>
                <a:bodyPr wrap="square"/>
                <a:lstStyle/>
                <a:p>
                  <a:pPr>
                    <a:defRPr sz="1000" b="0" strike="noStrike" spc="-1">
                      <a:solidFill>
                        <a:srgbClr val="44546A"/>
                      </a:solidFill>
                      <a:latin typeface="Calibri"/>
                    </a:defRPr>
                  </a:pPr>
                  <a:endParaRPr lang="ru-RU"/>
                </a:p>
              </c:txPr>
              <c:dLblPos val="bestFit"/>
              <c:showLegendKey val="0"/>
              <c:showVal val="0"/>
              <c:showCatName val="0"/>
              <c:showSerName val="0"/>
              <c:showPercent val="1"/>
              <c:showBubbleSize val="1"/>
            </c:dLbl>
            <c:spPr>
              <a:noFill/>
              <a:ln>
                <a:noFill/>
              </a:ln>
              <a:effectLst/>
            </c:spPr>
            <c:txPr>
              <a:bodyPr wrap="square"/>
              <a:lstStyle/>
              <a:p>
                <a:pPr>
                  <a:defRPr sz="1000" b="0" strike="noStrike" spc="-1">
                    <a:solidFill>
                      <a:srgbClr val="44546A"/>
                    </a:solidFill>
                    <a:latin typeface="Calibri"/>
                  </a:defRPr>
                </a:pPr>
                <a:endParaRPr lang="ru-RU"/>
              </a:p>
            </c:txPr>
            <c:dLblPos val="bestFit"/>
            <c:showLegendKey val="0"/>
            <c:showVal val="0"/>
            <c:showCatName val="0"/>
            <c:showSerName val="0"/>
            <c:showPercent val="1"/>
            <c:showBubbleSize val="1"/>
            <c:separator>
</c:separator>
            <c:showLeaderLines val="0"/>
          </c:dLbls>
          <c:cat>
            <c:strRef>
              <c:f>categories</c:f>
              <c:strCache>
                <c:ptCount val="5"/>
                <c:pt idx="0">
                  <c:v>  Біомаса (дрова)</c:v>
                </c:pt>
                <c:pt idx="1">
                  <c:v> Електрична енергія</c:v>
                </c:pt>
                <c:pt idx="2">
                  <c:v>Торфобрикет</c:v>
                </c:pt>
                <c:pt idx="3">
                  <c:v> Природний газ</c:v>
                </c:pt>
                <c:pt idx="4">
                  <c:v> теплова енергія</c:v>
                </c:pt>
              </c:strCache>
            </c:strRef>
          </c:cat>
          <c:val>
            <c:numRef>
              <c:f>0</c:f>
              <c:numCache>
                <c:formatCode>General</c:formatCode>
                <c:ptCount val="5"/>
                <c:pt idx="0">
                  <c:v>660.596</c:v>
                </c:pt>
                <c:pt idx="1">
                  <c:v>2673.8264033333298</c:v>
                </c:pt>
                <c:pt idx="2">
                  <c:v>52.634</c:v>
                </c:pt>
                <c:pt idx="3">
                  <c:v>227.3</c:v>
                </c:pt>
                <c:pt idx="4">
                  <c:v>14207.9115966667</c:v>
                </c:pt>
              </c:numCache>
            </c:numRef>
          </c:val>
        </c:ser>
        <c:dLbls>
          <c:showLegendKey val="0"/>
          <c:showVal val="0"/>
          <c:showCatName val="0"/>
          <c:showSerName val="0"/>
          <c:showPercent val="0"/>
          <c:showBubbleSize val="0"/>
          <c:showLeaderLines val="0"/>
        </c:dLbls>
      </c:pie3DChart>
    </c:plotArea>
    <c:legend>
      <c:legendPos val="r"/>
      <c:overlay val="0"/>
      <c:spPr>
        <a:noFill/>
        <a:ln w="0">
          <a:noFill/>
        </a:ln>
      </c:spPr>
      <c:txPr>
        <a:bodyPr/>
        <a:lstStyle/>
        <a:p>
          <a:pPr>
            <a:defRPr sz="900" b="0" strike="noStrike" spc="-1">
              <a:solidFill>
                <a:srgbClr val="44546A"/>
              </a:solidFill>
              <a:latin typeface="Calibri"/>
            </a:defRPr>
          </a:pPr>
          <a:endParaRPr lang="ru-RU"/>
        </a:p>
      </c:txPr>
    </c:legend>
    <c:plotVisOnly val="1"/>
    <c:dispBlanksAs val="gap"/>
    <c:showDLblsOverMax val="1"/>
  </c:chart>
  <c:spPr>
    <a:solidFill>
      <a:srgbClr val="FFFFFF"/>
    </a:solidFill>
    <a:ln w="9360">
      <a:solidFill>
        <a:srgbClr val="E0E5EB"/>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будівлі одноквартирні</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107901.627060071</c:v>
                </c:pt>
                <c:pt idx="1">
                  <c:v>154383.57890327901</c:v>
                </c:pt>
                <c:pt idx="2">
                  <c:v>149780.18878780099</c:v>
                </c:pt>
                <c:pt idx="3">
                  <c:v>143282.182543431</c:v>
                </c:pt>
                <c:pt idx="4">
                  <c:v>224012.514517918</c:v>
                </c:pt>
                <c:pt idx="5">
                  <c:v>249547.35461189601</c:v>
                </c:pt>
              </c:numCache>
            </c:numRef>
          </c:val>
        </c:ser>
        <c:ser>
          <c:idx val="1"/>
          <c:order val="1"/>
          <c:tx>
            <c:strRef>
              <c:f>label 1</c:f>
              <c:strCache>
                <c:ptCount val="1"/>
                <c:pt idx="0">
                  <c:v>будівлі багатоквартирні</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9512.0612296687195</c:v>
                </c:pt>
                <c:pt idx="1">
                  <c:v>9516.7771747503593</c:v>
                </c:pt>
                <c:pt idx="2">
                  <c:v>9521.4931198320101</c:v>
                </c:pt>
                <c:pt idx="3">
                  <c:v>9526.2090649136408</c:v>
                </c:pt>
                <c:pt idx="4">
                  <c:v>9530.9250099952806</c:v>
                </c:pt>
                <c:pt idx="5">
                  <c:v>9535.6409550769295</c:v>
                </c:pt>
              </c:numCache>
            </c:numRef>
          </c:val>
        </c:ser>
        <c:dLbls>
          <c:showLegendKey val="0"/>
          <c:showVal val="0"/>
          <c:showCatName val="0"/>
          <c:showSerName val="0"/>
          <c:showPercent val="0"/>
          <c:showBubbleSize val="0"/>
        </c:dLbls>
        <c:axId val="229240192"/>
        <c:axId val="229242368"/>
      </c:areaChart>
      <c:catAx>
        <c:axId val="22924019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9242368"/>
        <c:crosses val="autoZero"/>
        <c:auto val="1"/>
        <c:lblAlgn val="ctr"/>
        <c:lblOffset val="100"/>
        <c:noMultiLvlLbl val="0"/>
      </c:catAx>
      <c:valAx>
        <c:axId val="2292423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9240192"/>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Природний газ</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58612.901822124302</c:v>
                </c:pt>
                <c:pt idx="1">
                  <c:v>83862.215980936104</c:v>
                </c:pt>
                <c:pt idx="2">
                  <c:v>81361.622984898393</c:v>
                </c:pt>
                <c:pt idx="3">
                  <c:v>77831.861549245907</c:v>
                </c:pt>
                <c:pt idx="4">
                  <c:v>121685.13004031101</c:v>
                </c:pt>
                <c:pt idx="5">
                  <c:v>135555.82982724599</c:v>
                </c:pt>
              </c:numCache>
            </c:numRef>
          </c:val>
        </c:ser>
        <c:ser>
          <c:idx val="1"/>
          <c:order val="1"/>
          <c:tx>
            <c:strRef>
              <c:f>label 1</c:f>
              <c:strCache>
                <c:ptCount val="1"/>
                <c:pt idx="0">
                  <c:v>Дрова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85901.936162127706</c:v>
                </c:pt>
                <c:pt idx="1">
                  <c:v>85944.525124032603</c:v>
                </c:pt>
                <c:pt idx="2">
                  <c:v>85987.114085937399</c:v>
                </c:pt>
                <c:pt idx="3">
                  <c:v>86029.703047842297</c:v>
                </c:pt>
                <c:pt idx="4">
                  <c:v>86072.292009747194</c:v>
                </c:pt>
                <c:pt idx="5">
                  <c:v>86114.880971652106</c:v>
                </c:pt>
              </c:numCache>
            </c:numRef>
          </c:val>
        </c:ser>
        <c:ser>
          <c:idx val="2"/>
          <c:order val="2"/>
          <c:tx>
            <c:strRef>
              <c:f>label 2</c:f>
              <c:strCache>
                <c:ptCount val="1"/>
                <c:pt idx="0">
                  <c:v>Електроенергія </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2</c:f>
              <c:numCache>
                <c:formatCode>General</c:formatCode>
                <c:ptCount val="6"/>
                <c:pt idx="0">
                  <c:v>21415.586492371898</c:v>
                </c:pt>
                <c:pt idx="1">
                  <c:v>21479.833251848999</c:v>
                </c:pt>
                <c:pt idx="2">
                  <c:v>18687.454929108699</c:v>
                </c:pt>
                <c:pt idx="3">
                  <c:v>20556.200422019501</c:v>
                </c:pt>
                <c:pt idx="4">
                  <c:v>28778.680590827302</c:v>
                </c:pt>
                <c:pt idx="5">
                  <c:v>37412.2847680755</c:v>
                </c:pt>
              </c:numCache>
            </c:numRef>
          </c:val>
        </c:ser>
        <c:ser>
          <c:idx val="3"/>
          <c:order val="3"/>
          <c:tx>
            <c:strRef>
              <c:f>label 3</c:f>
              <c:strCache>
                <c:ptCount val="1"/>
                <c:pt idx="0">
                  <c:v>будівлі одноквартирні</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3</c:f>
              <c:numCache>
                <c:formatCode>General</c:formatCode>
                <c:ptCount val="6"/>
                <c:pt idx="0">
                  <c:v>107901.627060071</c:v>
                </c:pt>
                <c:pt idx="1">
                  <c:v>154383.57890327901</c:v>
                </c:pt>
                <c:pt idx="2">
                  <c:v>149780.18878780099</c:v>
                </c:pt>
                <c:pt idx="3">
                  <c:v>143282.182543431</c:v>
                </c:pt>
                <c:pt idx="4">
                  <c:v>224012.514517918</c:v>
                </c:pt>
                <c:pt idx="5">
                  <c:v>249547.35461189601</c:v>
                </c:pt>
              </c:numCache>
            </c:numRef>
          </c:val>
        </c:ser>
        <c:ser>
          <c:idx val="4"/>
          <c:order val="4"/>
          <c:tx>
            <c:strRef>
              <c:f>label 4</c:f>
              <c:strCache>
                <c:ptCount val="1"/>
                <c:pt idx="0">
                  <c:v>будівлі багатоквартирні</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4</c:f>
              <c:numCache>
                <c:formatCode>General</c:formatCode>
                <c:ptCount val="6"/>
                <c:pt idx="0">
                  <c:v>9512.0612296687195</c:v>
                </c:pt>
                <c:pt idx="1">
                  <c:v>9516.7771747503593</c:v>
                </c:pt>
                <c:pt idx="2">
                  <c:v>9521.4931198320101</c:v>
                </c:pt>
                <c:pt idx="3">
                  <c:v>9526.2090649136408</c:v>
                </c:pt>
                <c:pt idx="4">
                  <c:v>9530.9250099952806</c:v>
                </c:pt>
                <c:pt idx="5">
                  <c:v>9535.6409550769295</c:v>
                </c:pt>
              </c:numCache>
            </c:numRef>
          </c:val>
        </c:ser>
        <c:dLbls>
          <c:showLegendKey val="0"/>
          <c:showVal val="0"/>
          <c:showCatName val="0"/>
          <c:showSerName val="0"/>
          <c:showPercent val="0"/>
          <c:showBubbleSize val="0"/>
        </c:dLbls>
        <c:axId val="228924032"/>
        <c:axId val="228942592"/>
      </c:areaChart>
      <c:catAx>
        <c:axId val="2289240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8942592"/>
        <c:crosses val="autoZero"/>
        <c:auto val="1"/>
        <c:lblAlgn val="ctr"/>
        <c:lblOffset val="100"/>
        <c:noMultiLvlLbl val="0"/>
      </c:catAx>
      <c:valAx>
        <c:axId val="2289425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8924032"/>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label 0</c:f>
              <c:strCache>
                <c:ptCount val="1"/>
                <c:pt idx="0">
                  <c:v>Серія1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c:spPr>
          </c:dPt>
          <c:dLbls>
            <c:dLbl>
              <c:idx val="0"/>
              <c:spPr>
                <a:solidFill>
                  <a:schemeClr val="lt1">
                    <a:alpha val="90000"/>
                  </a:schemeClr>
                </a:solidFill>
                <a:ln w="12700" cap="flat" cmpd="sng" algn="ctr">
                  <a:solidFill>
                    <a:schemeClr val="accent1"/>
                  </a:solidFill>
                  <a:round/>
                </a:ln>
                <a:effectLst>
                  <a:outerShdw blurRad="50800" dist="38100" dir="2700000"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1"/>
                      </a:solidFill>
                      <a:latin typeface="+mn-lt"/>
                      <a:ea typeface="+mn-ea"/>
                      <a:cs typeface="+mn-cs"/>
                    </a:defRPr>
                  </a:pPr>
                  <a:endParaRPr lang="ru-RU"/>
                </a:p>
              </c:txPr>
              <c:dLblPos val="inEnd"/>
              <c:showLegendKey val="0"/>
              <c:showVal val="0"/>
              <c:showCatName val="1"/>
              <c:showSerName val="0"/>
              <c:showPercent val="1"/>
              <c:showBubbleSize val="1"/>
            </c:dLbl>
            <c:dLbl>
              <c:idx val="1"/>
              <c:spPr>
                <a:solidFill>
                  <a:schemeClr val="lt1">
                    <a:alpha val="90000"/>
                  </a:schemeClr>
                </a:solidFill>
                <a:ln w="12700" cap="flat" cmpd="sng" algn="ctr">
                  <a:solidFill>
                    <a:schemeClr val="accent2"/>
                  </a:solidFill>
                  <a:round/>
                </a:ln>
                <a:effectLst>
                  <a:outerShdw blurRad="50800" dist="38100" dir="2700000"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2"/>
                      </a:solidFill>
                      <a:latin typeface="+mn-lt"/>
                      <a:ea typeface="+mn-ea"/>
                      <a:cs typeface="+mn-cs"/>
                    </a:defRPr>
                  </a:pPr>
                  <a:endParaRPr lang="ru-RU"/>
                </a:p>
              </c:txPr>
              <c:dLblPos val="inEnd"/>
              <c:showLegendKey val="0"/>
              <c:showVal val="0"/>
              <c:showCatName val="1"/>
              <c:showSerName val="0"/>
              <c:showPercent val="1"/>
              <c:showBubbleSize val="1"/>
            </c:dLbl>
            <c:dLbl>
              <c:idx val="2"/>
              <c:spPr>
                <a:solidFill>
                  <a:schemeClr val="lt1">
                    <a:alpha val="90000"/>
                  </a:schemeClr>
                </a:solidFill>
                <a:ln w="12700" cap="flat" cmpd="sng" algn="ctr">
                  <a:solidFill>
                    <a:schemeClr val="accent3"/>
                  </a:solidFill>
                  <a:round/>
                </a:ln>
                <a:effectLst>
                  <a:outerShdw blurRad="50800" dist="38100" dir="2700000"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3"/>
                      </a:solidFill>
                      <a:latin typeface="+mn-lt"/>
                      <a:ea typeface="+mn-ea"/>
                      <a:cs typeface="+mn-cs"/>
                    </a:defRPr>
                  </a:pPr>
                  <a:endParaRPr lang="ru-RU"/>
                </a:p>
              </c:txPr>
              <c:dLblPos val="inEnd"/>
              <c:showLegendKey val="0"/>
              <c:showVal val="0"/>
              <c:showCatName val="1"/>
              <c:showSerName val="0"/>
              <c:showPercent val="1"/>
              <c:showBubbleSize val="1"/>
            </c:dLbl>
            <c:spPr>
              <a:solidFill>
                <a:sysClr val="window" lastClr="FFFFFF">
                  <a:alpha val="90000"/>
                </a:sysClr>
              </a:solidFill>
              <a:ln w="12700" cap="flat" cmpd="sng" algn="ctr">
                <a:solidFill>
                  <a:srgbClr val="4472C4"/>
                </a:solidFill>
                <a:round/>
              </a:ln>
              <a:effectLst>
                <a:outerShdw blurRad="50800" dist="38100" dir="2700000" rotWithShape="0">
                  <a:srgbClr val="4472C4">
                    <a:lumMod val="75000"/>
                    <a:alpha val="40000"/>
                  </a:srgbClr>
                </a:outerShdw>
              </a:effectLst>
            </c:spPr>
            <c:dLblPos val="inEnd"/>
            <c:showLegendKey val="0"/>
            <c:showVal val="0"/>
            <c:showCatName val="1"/>
            <c:showSerName val="0"/>
            <c:showPercent val="1"/>
            <c:showBubbleSize val="1"/>
            <c:separator>
</c:separator>
            <c:showLeaderLines val="0"/>
          </c:dLbls>
          <c:cat>
            <c:strRef>
              <c:f>categories</c:f>
              <c:strCache>
                <c:ptCount val="3"/>
                <c:pt idx="0">
                  <c:v>Природний газ</c:v>
                </c:pt>
                <c:pt idx="1">
                  <c:v>Дрова </c:v>
                </c:pt>
                <c:pt idx="2">
                  <c:v>Електроенергія </c:v>
                </c:pt>
              </c:strCache>
            </c:strRef>
          </c:cat>
          <c:val>
            <c:numRef>
              <c:f>0</c:f>
              <c:numCache>
                <c:formatCode>General</c:formatCode>
                <c:ptCount val="3"/>
                <c:pt idx="0">
                  <c:v>135555.82982724599</c:v>
                </c:pt>
                <c:pt idx="1">
                  <c:v>86114.880971652106</c:v>
                </c:pt>
                <c:pt idx="2">
                  <c:v>37412.2847680755</c:v>
                </c:pt>
              </c:numCache>
            </c:numRef>
          </c:val>
        </c:ser>
        <c:dLbls>
          <c:dLblPos val="inEnd"/>
          <c:showLegendKey val="0"/>
          <c:showVal val="0"/>
          <c:showCatName val="0"/>
          <c:showSerName val="0"/>
          <c:showPercent val="1"/>
          <c:showBubbleSize val="0"/>
          <c:showLeaderLines val="0"/>
        </c:dLbls>
      </c:pie3DChart>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Електрична енергія</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69.5</c:v>
                </c:pt>
                <c:pt idx="1">
                  <c:v>81.400000000000006</c:v>
                </c:pt>
                <c:pt idx="2">
                  <c:v>87.8</c:v>
                </c:pt>
                <c:pt idx="3">
                  <c:v>76</c:v>
                </c:pt>
                <c:pt idx="4">
                  <c:v>133.5</c:v>
                </c:pt>
                <c:pt idx="5">
                  <c:v>145.6</c:v>
                </c:pt>
              </c:numCache>
            </c:numRef>
          </c:val>
        </c:ser>
        <c:ser>
          <c:idx val="1"/>
          <c:order val="1"/>
          <c:tx>
            <c:strRef>
              <c:f>label 1</c:f>
              <c:strCache>
                <c:ptCount val="1"/>
                <c:pt idx="0">
                  <c:v>Природний газ</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1777</c:v>
                </c:pt>
                <c:pt idx="1">
                  <c:v>1277.4000000000001</c:v>
                </c:pt>
                <c:pt idx="2">
                  <c:v>1205.7</c:v>
                </c:pt>
                <c:pt idx="3">
                  <c:v>1286.5999999999999</c:v>
                </c:pt>
                <c:pt idx="4">
                  <c:v>4207.3999999999996</c:v>
                </c:pt>
                <c:pt idx="5">
                  <c:v>2186.6</c:v>
                </c:pt>
              </c:numCache>
            </c:numRef>
          </c:val>
        </c:ser>
        <c:ser>
          <c:idx val="2"/>
          <c:order val="2"/>
          <c:tx>
            <c:strRef>
              <c:f>label 2</c:f>
              <c:strCache>
                <c:ptCount val="1"/>
                <c:pt idx="0">
                  <c:v>Тверде паливо (дрова)</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2</c:f>
              <c:numCache>
                <c:formatCode>General</c:formatCode>
                <c:ptCount val="6"/>
                <c:pt idx="0">
                  <c:v>820.9</c:v>
                </c:pt>
                <c:pt idx="1">
                  <c:v>1846.9</c:v>
                </c:pt>
                <c:pt idx="2">
                  <c:v>1756</c:v>
                </c:pt>
                <c:pt idx="3">
                  <c:v>1086.5999999999999</c:v>
                </c:pt>
                <c:pt idx="4">
                  <c:v>1287.5999999999999</c:v>
                </c:pt>
                <c:pt idx="5">
                  <c:v>1779.9</c:v>
                </c:pt>
              </c:numCache>
            </c:numRef>
          </c:val>
        </c:ser>
        <c:ser>
          <c:idx val="3"/>
          <c:order val="3"/>
          <c:tx>
            <c:strRef>
              <c:f>label 3</c:f>
              <c:strCache>
                <c:ptCount val="1"/>
                <c:pt idx="0">
                  <c:v>Вода</c:v>
                </c:pt>
              </c:strCache>
            </c:strRef>
          </c:tx>
          <c:spPr>
            <a:solidFill>
              <a:schemeClr val="accent1">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3</c:f>
              <c:numCache>
                <c:formatCode>General</c:formatCode>
                <c:ptCount val="6"/>
                <c:pt idx="0">
                  <c:v>3.2</c:v>
                </c:pt>
                <c:pt idx="1">
                  <c:v>4.0999999999999996</c:v>
                </c:pt>
                <c:pt idx="2">
                  <c:v>3.9</c:v>
                </c:pt>
                <c:pt idx="3">
                  <c:v>5.2</c:v>
                </c:pt>
                <c:pt idx="4">
                  <c:v>4.2</c:v>
                </c:pt>
                <c:pt idx="5">
                  <c:v>4</c:v>
                </c:pt>
              </c:numCache>
            </c:numRef>
          </c:val>
        </c:ser>
        <c:dLbls>
          <c:showLegendKey val="0"/>
          <c:showVal val="0"/>
          <c:showCatName val="0"/>
          <c:showSerName val="0"/>
          <c:showPercent val="0"/>
          <c:showBubbleSize val="0"/>
        </c:dLbls>
        <c:axId val="229078144"/>
        <c:axId val="229080064"/>
      </c:areaChart>
      <c:catAx>
        <c:axId val="22907814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9080064"/>
        <c:crosses val="autoZero"/>
        <c:auto val="1"/>
        <c:lblAlgn val="ctr"/>
        <c:lblOffset val="100"/>
        <c:noMultiLvlLbl val="0"/>
      </c:catAx>
      <c:valAx>
        <c:axId val="22908006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9078144"/>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label 0</c:f>
              <c:strCache>
                <c:ptCount val="1"/>
                <c:pt idx="0">
                  <c:v>Серія1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c:spPr>
          </c:dPt>
          <c:dLbls>
            <c:dLbl>
              <c:idx val="0"/>
              <c:layout>
                <c:manualLayout>
                  <c:x val="-0.15943460436844434"/>
                  <c:y val="3.6222555973226607E-2"/>
                </c:manualLayout>
              </c:layout>
              <c:spPr>
                <a:solidFill>
                  <a:schemeClr val="lt1">
                    <a:alpha val="90000"/>
                  </a:schemeClr>
                </a:solidFill>
                <a:ln w="12700" cap="flat" cmpd="sng" algn="ctr">
                  <a:solidFill>
                    <a:schemeClr val="accent1"/>
                  </a:solidFill>
                  <a:round/>
                </a:ln>
                <a:effectLst>
                  <a:outerShdw blurRad="50800" dist="38100" dir="2700000"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1"/>
                      </a:solidFill>
                      <a:latin typeface="+mn-lt"/>
                      <a:ea typeface="+mn-ea"/>
                      <a:cs typeface="+mn-cs"/>
                    </a:defRPr>
                  </a:pPr>
                  <a:endParaRPr lang="ru-RU"/>
                </a:p>
              </c:txPr>
              <c:dLblPos val="bestFit"/>
              <c:showLegendKey val="0"/>
              <c:showVal val="0"/>
              <c:showCatName val="1"/>
              <c:showSerName val="0"/>
              <c:showPercent val="1"/>
              <c:showBubbleSize val="1"/>
            </c:dLbl>
            <c:dLbl>
              <c:idx val="1"/>
              <c:spPr>
                <a:solidFill>
                  <a:schemeClr val="lt1">
                    <a:alpha val="90000"/>
                  </a:schemeClr>
                </a:solidFill>
                <a:ln w="12700" cap="flat" cmpd="sng" algn="ctr">
                  <a:solidFill>
                    <a:schemeClr val="accent2"/>
                  </a:solidFill>
                  <a:round/>
                </a:ln>
                <a:effectLst>
                  <a:outerShdw blurRad="50800" dist="38100" dir="2700000"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2"/>
                      </a:solidFill>
                      <a:latin typeface="+mn-lt"/>
                      <a:ea typeface="+mn-ea"/>
                      <a:cs typeface="+mn-cs"/>
                    </a:defRPr>
                  </a:pPr>
                  <a:endParaRPr lang="ru-RU"/>
                </a:p>
              </c:txPr>
              <c:dLblPos val="inEnd"/>
              <c:showLegendKey val="0"/>
              <c:showVal val="0"/>
              <c:showCatName val="1"/>
              <c:showSerName val="0"/>
              <c:showPercent val="1"/>
              <c:showBubbleSize val="1"/>
            </c:dLbl>
            <c:dLbl>
              <c:idx val="2"/>
              <c:spPr>
                <a:solidFill>
                  <a:schemeClr val="lt1">
                    <a:alpha val="90000"/>
                  </a:schemeClr>
                </a:solidFill>
                <a:ln w="12700" cap="flat" cmpd="sng" algn="ctr">
                  <a:solidFill>
                    <a:schemeClr val="accent3"/>
                  </a:solidFill>
                  <a:round/>
                </a:ln>
                <a:effectLst>
                  <a:outerShdw blurRad="50800" dist="38100" dir="2700000"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3"/>
                      </a:solidFill>
                      <a:latin typeface="+mn-lt"/>
                      <a:ea typeface="+mn-ea"/>
                      <a:cs typeface="+mn-cs"/>
                    </a:defRPr>
                  </a:pPr>
                  <a:endParaRPr lang="ru-RU"/>
                </a:p>
              </c:txPr>
              <c:dLblPos val="inEnd"/>
              <c:showLegendKey val="0"/>
              <c:showVal val="0"/>
              <c:showCatName val="1"/>
              <c:showSerName val="0"/>
              <c:showPercent val="1"/>
              <c:showBubbleSize val="1"/>
            </c:dLbl>
            <c:dLbl>
              <c:idx val="3"/>
              <c:layout>
                <c:manualLayout>
                  <c:x val="8.9380218746324833E-2"/>
                  <c:y val="4.0632699302884816E-2"/>
                </c:manualLayout>
              </c:layout>
              <c:spPr>
                <a:solidFill>
                  <a:schemeClr val="lt1">
                    <a:alpha val="90000"/>
                  </a:schemeClr>
                </a:solidFill>
                <a:ln w="12700" cap="flat" cmpd="sng" algn="ctr">
                  <a:solidFill>
                    <a:schemeClr val="accent4"/>
                  </a:solidFill>
                  <a:round/>
                </a:ln>
                <a:effectLst>
                  <a:outerShdw blurRad="50800" dist="38100" dir="2700000"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4"/>
                      </a:solidFill>
                      <a:latin typeface="+mn-lt"/>
                      <a:ea typeface="+mn-ea"/>
                      <a:cs typeface="+mn-cs"/>
                    </a:defRPr>
                  </a:pPr>
                  <a:endParaRPr lang="ru-RU"/>
                </a:p>
              </c:txPr>
              <c:dLblPos val="bestFit"/>
              <c:showLegendKey val="0"/>
              <c:showVal val="0"/>
              <c:showCatName val="1"/>
              <c:showSerName val="0"/>
              <c:showPercent val="1"/>
              <c:showBubbleSize val="1"/>
            </c:dLbl>
            <c:spPr>
              <a:solidFill>
                <a:sysClr val="window" lastClr="FFFFFF">
                  <a:alpha val="90000"/>
                </a:sysClr>
              </a:solidFill>
              <a:ln w="12700" cap="flat" cmpd="sng" algn="ctr">
                <a:solidFill>
                  <a:srgbClr val="4472C4"/>
                </a:solidFill>
                <a:round/>
              </a:ln>
              <a:effectLst>
                <a:outerShdw blurRad="50800" dist="38100" dir="2700000" rotWithShape="0">
                  <a:srgbClr val="4472C4">
                    <a:lumMod val="75000"/>
                    <a:alpha val="40000"/>
                  </a:srgbClr>
                </a:outerShdw>
              </a:effectLst>
            </c:spPr>
            <c:dLblPos val="inEnd"/>
            <c:showLegendKey val="0"/>
            <c:showVal val="0"/>
            <c:showCatName val="1"/>
            <c:showSerName val="0"/>
            <c:showPercent val="1"/>
            <c:showBubbleSize val="1"/>
            <c:separator>
</c:separator>
            <c:showLeaderLines val="0"/>
          </c:dLbls>
          <c:cat>
            <c:strRef>
              <c:f>categories</c:f>
              <c:strCache>
                <c:ptCount val="4"/>
                <c:pt idx="0">
                  <c:v>Електрична енергія</c:v>
                </c:pt>
                <c:pt idx="1">
                  <c:v>Природний газ</c:v>
                </c:pt>
                <c:pt idx="2">
                  <c:v>Тверде паливо (дрова)</c:v>
                </c:pt>
                <c:pt idx="3">
                  <c:v>Вода</c:v>
                </c:pt>
              </c:strCache>
            </c:strRef>
          </c:cat>
          <c:val>
            <c:numRef>
              <c:f>0</c:f>
              <c:numCache>
                <c:formatCode>General</c:formatCode>
                <c:ptCount val="4"/>
                <c:pt idx="0">
                  <c:v>593.79999999999995</c:v>
                </c:pt>
                <c:pt idx="1">
                  <c:v>11940.7</c:v>
                </c:pt>
                <c:pt idx="2">
                  <c:v>8577.9</c:v>
                </c:pt>
                <c:pt idx="3">
                  <c:v>24.6</c:v>
                </c:pt>
              </c:numCache>
            </c:numRef>
          </c:val>
        </c:ser>
        <c:dLbls>
          <c:dLblPos val="inEnd"/>
          <c:showLegendKey val="0"/>
          <c:showVal val="0"/>
          <c:showCatName val="0"/>
          <c:showSerName val="0"/>
          <c:showPercent val="1"/>
          <c:showBubbleSize val="0"/>
          <c:showLeaderLines val="0"/>
        </c:dLbls>
      </c:pie3DChart>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Електрична енергія на питне водопостачання</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643.29999999999995</c:v>
                </c:pt>
                <c:pt idx="1">
                  <c:v>715.3</c:v>
                </c:pt>
                <c:pt idx="2">
                  <c:v>819.5</c:v>
                </c:pt>
                <c:pt idx="3">
                  <c:v>664.7</c:v>
                </c:pt>
                <c:pt idx="4">
                  <c:v>989.3</c:v>
                </c:pt>
                <c:pt idx="5">
                  <c:v>1239</c:v>
                </c:pt>
              </c:numCache>
            </c:numRef>
          </c:val>
        </c:ser>
        <c:ser>
          <c:idx val="1"/>
          <c:order val="1"/>
          <c:tx>
            <c:strRef>
              <c:f>label 1</c:f>
              <c:strCache>
                <c:ptCount val="1"/>
                <c:pt idx="0">
                  <c:v>Електрична енергія на водовідведення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46.2</c:v>
                </c:pt>
                <c:pt idx="1">
                  <c:v>40.9</c:v>
                </c:pt>
                <c:pt idx="2">
                  <c:v>38.299999999999997</c:v>
                </c:pt>
                <c:pt idx="3">
                  <c:v>41.2</c:v>
                </c:pt>
                <c:pt idx="4">
                  <c:v>61.5</c:v>
                </c:pt>
                <c:pt idx="5">
                  <c:v>77.099999999999994</c:v>
                </c:pt>
              </c:numCache>
            </c:numRef>
          </c:val>
        </c:ser>
        <c:dLbls>
          <c:showLegendKey val="0"/>
          <c:showVal val="0"/>
          <c:showCatName val="0"/>
          <c:showSerName val="0"/>
          <c:showPercent val="0"/>
          <c:showBubbleSize val="0"/>
        </c:dLbls>
        <c:axId val="229557760"/>
        <c:axId val="229559680"/>
      </c:areaChart>
      <c:catAx>
        <c:axId val="2295577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9559680"/>
        <c:crosses val="autoZero"/>
        <c:auto val="1"/>
        <c:lblAlgn val="ctr"/>
        <c:lblOffset val="100"/>
        <c:noMultiLvlLbl val="0"/>
      </c:catAx>
      <c:valAx>
        <c:axId val="22955968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9557760"/>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label 0</c:f>
              <c:strCache>
                <c:ptCount val="1"/>
                <c:pt idx="0">
                  <c:v>Серія1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c:spPr>
          </c:dPt>
          <c:dLbls>
            <c:dLbl>
              <c:idx val="0"/>
              <c:layout>
                <c:manualLayout>
                  <c:x val="5.0758185392649743E-2"/>
                  <c:y val="-0.14184480247819656"/>
                </c:manualLayout>
              </c:layout>
              <c:spPr>
                <a:solidFill>
                  <a:schemeClr val="lt1">
                    <a:alpha val="90000"/>
                  </a:schemeClr>
                </a:solidFill>
                <a:ln w="12700" cap="flat" cmpd="sng" algn="ctr">
                  <a:solidFill>
                    <a:schemeClr val="accent1"/>
                  </a:solidFill>
                  <a:round/>
                </a:ln>
                <a:effectLst>
                  <a:outerShdw blurRad="50800" dist="38100" dir="2700000"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1"/>
                      </a:solidFill>
                      <a:latin typeface="+mn-lt"/>
                      <a:ea typeface="+mn-ea"/>
                      <a:cs typeface="+mn-cs"/>
                    </a:defRPr>
                  </a:pPr>
                  <a:endParaRPr lang="ru-RU"/>
                </a:p>
              </c:txPr>
              <c:dLblPos val="bestFit"/>
              <c:showLegendKey val="0"/>
              <c:showVal val="0"/>
              <c:showCatName val="1"/>
              <c:showSerName val="0"/>
              <c:showPercent val="1"/>
              <c:showBubbleSize val="1"/>
            </c:dLbl>
            <c:dLbl>
              <c:idx val="1"/>
              <c:layout>
                <c:manualLayout>
                  <c:x val="-7.3605332439407714E-2"/>
                  <c:y val="5.2883936405920443E-2"/>
                </c:manualLayout>
              </c:layout>
              <c:spPr>
                <a:solidFill>
                  <a:schemeClr val="lt1">
                    <a:alpha val="90000"/>
                  </a:schemeClr>
                </a:solidFill>
                <a:ln w="12700" cap="flat" cmpd="sng" algn="ctr">
                  <a:solidFill>
                    <a:schemeClr val="accent2"/>
                  </a:solidFill>
                  <a:round/>
                </a:ln>
                <a:effectLst>
                  <a:outerShdw blurRad="50800" dist="38100" dir="2700000"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2"/>
                      </a:solidFill>
                      <a:latin typeface="+mn-lt"/>
                      <a:ea typeface="+mn-ea"/>
                      <a:cs typeface="+mn-cs"/>
                    </a:defRPr>
                  </a:pPr>
                  <a:endParaRPr lang="ru-RU"/>
                </a:p>
              </c:txPr>
              <c:dLblPos val="bestFit"/>
              <c:showLegendKey val="0"/>
              <c:showVal val="0"/>
              <c:showCatName val="1"/>
              <c:showSerName val="0"/>
              <c:showPercent val="1"/>
              <c:showBubbleSize val="1"/>
            </c:dLbl>
            <c:spPr>
              <a:solidFill>
                <a:sysClr val="window" lastClr="FFFFFF">
                  <a:alpha val="90000"/>
                </a:sysClr>
              </a:solidFill>
              <a:ln w="12700" cap="flat" cmpd="sng" algn="ctr">
                <a:solidFill>
                  <a:srgbClr val="4472C4"/>
                </a:solidFill>
                <a:round/>
              </a:ln>
              <a:effectLst>
                <a:outerShdw blurRad="50800" dist="38100" dir="2700000" rotWithShape="0">
                  <a:srgbClr val="4472C4">
                    <a:lumMod val="75000"/>
                    <a:alpha val="40000"/>
                  </a:srgbClr>
                </a:outerShdw>
              </a:effectLst>
            </c:spPr>
            <c:dLblPos val="inEnd"/>
            <c:showLegendKey val="0"/>
            <c:showVal val="0"/>
            <c:showCatName val="1"/>
            <c:showSerName val="0"/>
            <c:showPercent val="1"/>
            <c:showBubbleSize val="1"/>
            <c:separator>
</c:separator>
            <c:showLeaderLines val="0"/>
          </c:dLbls>
          <c:cat>
            <c:strRef>
              <c:f>categories</c:f>
              <c:strCache>
                <c:ptCount val="2"/>
                <c:pt idx="0">
                  <c:v>Електрична енергія на питне водопостачання</c:v>
                </c:pt>
                <c:pt idx="1">
                  <c:v>Електрична енергія на водовідведення</c:v>
                </c:pt>
              </c:strCache>
            </c:strRef>
          </c:cat>
          <c:val>
            <c:numRef>
              <c:f>0</c:f>
              <c:numCache>
                <c:formatCode>General</c:formatCode>
                <c:ptCount val="2"/>
                <c:pt idx="0">
                  <c:v>1239</c:v>
                </c:pt>
                <c:pt idx="1">
                  <c:v>77.099999999999994</c:v>
                </c:pt>
              </c:numCache>
            </c:numRef>
          </c:val>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 - бензин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5.9</c:v>
                </c:pt>
                <c:pt idx="1">
                  <c:v>5.8</c:v>
                </c:pt>
                <c:pt idx="2">
                  <c:v>5.9</c:v>
                </c:pt>
                <c:pt idx="3">
                  <c:v>6.1</c:v>
                </c:pt>
                <c:pt idx="4">
                  <c:v>20.100000000000001</c:v>
                </c:pt>
                <c:pt idx="5">
                  <c:v>9.1</c:v>
                </c:pt>
              </c:numCache>
            </c:numRef>
          </c:val>
        </c:ser>
        <c:ser>
          <c:idx val="1"/>
          <c:order val="1"/>
          <c:tx>
            <c:strRef>
              <c:f>label 1</c:f>
              <c:strCache>
                <c:ptCount val="1"/>
                <c:pt idx="0">
                  <c:v> - дизель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251.3</c:v>
                </c:pt>
                <c:pt idx="1">
                  <c:v>291.7</c:v>
                </c:pt>
                <c:pt idx="2">
                  <c:v>247.2</c:v>
                </c:pt>
                <c:pt idx="3">
                  <c:v>245.6</c:v>
                </c:pt>
                <c:pt idx="4">
                  <c:v>315.2</c:v>
                </c:pt>
                <c:pt idx="5">
                  <c:v>535.5</c:v>
                </c:pt>
              </c:numCache>
            </c:numRef>
          </c:val>
        </c:ser>
        <c:ser>
          <c:idx val="2"/>
          <c:order val="2"/>
          <c:tx>
            <c:strRef>
              <c:f>label 2</c:f>
              <c:strCache>
                <c:ptCount val="1"/>
                <c:pt idx="0">
                  <c:v> - скраплений (зріджений) газ</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2</c:f>
              <c:numCache>
                <c:formatCode>General</c:formatCode>
                <c:ptCount val="6"/>
                <c:pt idx="0">
                  <c:v>57.1</c:v>
                </c:pt>
                <c:pt idx="1">
                  <c:v>53.2</c:v>
                </c:pt>
                <c:pt idx="2">
                  <c:v>56.9</c:v>
                </c:pt>
                <c:pt idx="3">
                  <c:v>55.5</c:v>
                </c:pt>
                <c:pt idx="4">
                  <c:v>64.599999999999994</c:v>
                </c:pt>
                <c:pt idx="5">
                  <c:v>9.1</c:v>
                </c:pt>
              </c:numCache>
            </c:numRef>
          </c:val>
        </c:ser>
        <c:dLbls>
          <c:showLegendKey val="0"/>
          <c:showVal val="0"/>
          <c:showCatName val="0"/>
          <c:showSerName val="0"/>
          <c:showPercent val="0"/>
          <c:showBubbleSize val="0"/>
        </c:dLbls>
        <c:axId val="229340672"/>
        <c:axId val="229342592"/>
      </c:areaChart>
      <c:catAx>
        <c:axId val="22934067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9342592"/>
        <c:crosses val="autoZero"/>
        <c:auto val="1"/>
        <c:lblAlgn val="ctr"/>
        <c:lblOffset val="100"/>
        <c:noMultiLvlLbl val="0"/>
      </c:catAx>
      <c:valAx>
        <c:axId val="2293425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9340672"/>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1"/>
        <c:ser>
          <c:idx val="0"/>
          <c:order val="0"/>
          <c:tx>
            <c:strRef>
              <c:f>Аркуш1!$B$1</c:f>
              <c:strCache>
                <c:ptCount val="1"/>
                <c:pt idx="0">
                  <c:v>Споживання ТЕ</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3807.75504</c:v>
                </c:pt>
                <c:pt idx="1">
                  <c:v>4641.4748499999996</c:v>
                </c:pt>
                <c:pt idx="2">
                  <c:v>4375.274617</c:v>
                </c:pt>
                <c:pt idx="3">
                  <c:v>3831.3464949999998</c:v>
                </c:pt>
                <c:pt idx="4">
                  <c:v>4888.8682099999996</c:v>
                </c:pt>
                <c:pt idx="5">
                  <c:v>3767.4570899999999</c:v>
                </c:pt>
                <c:pt idx="6">
                  <c:v>2519.0347400000001</c:v>
                </c:pt>
              </c:numCache>
            </c:numRef>
          </c:val>
        </c:ser>
        <c:dLbls>
          <c:showLegendKey val="0"/>
          <c:showVal val="0"/>
          <c:showCatName val="0"/>
          <c:showSerName val="0"/>
          <c:showPercent val="0"/>
          <c:showBubbleSize val="0"/>
        </c:dLbls>
        <c:axId val="228115584"/>
        <c:axId val="228117504"/>
      </c:areaChart>
      <c:catAx>
        <c:axId val="22811558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uk-UA"/>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8117504"/>
        <c:crosses val="autoZero"/>
        <c:auto val="1"/>
        <c:lblAlgn val="ctr"/>
        <c:lblOffset val="100"/>
        <c:noMultiLvlLbl val="0"/>
      </c:catAx>
      <c:valAx>
        <c:axId val="2281175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uk-UA"/>
                  <a:t>МВт*год</a:t>
                </a:r>
                <a:endParaRPr/>
              </a:p>
            </c:rich>
          </c:tx>
          <c:overlay val="0"/>
          <c:spPr>
            <a:noFill/>
            <a:ln>
              <a:noFill/>
            </a:ln>
            <a:effectLst/>
          </c:spPr>
        </c:title>
        <c:numFmt formatCode="\ * #,##0.0\ ;\-* #,##0.0\ ;\ * \-#\ ;\ @\ "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8115584"/>
        <c:crosses val="autoZero"/>
        <c:crossBetween val="midCat"/>
        <c:dispUnits>
          <c:builtInUnit val="thousands"/>
          <c:dispUnitsLbl>
            <c:spPr>
              <a:noFill/>
              <a:ln>
                <a:noFill/>
              </a:ln>
              <a:effectLst/>
            </c:spPr>
            <c:txPr>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endParaRPr lang="ru-RU"/>
              </a:p>
            </c:txPr>
          </c:dispUnitsLbl>
        </c:dispUnits>
      </c:valAx>
      <c:spPr>
        <a:pattFill prst="ltDnDiag">
          <a:fgClr>
            <a:schemeClr val="dk1">
              <a:lumMod val="15000"/>
              <a:lumOff val="85000"/>
            </a:schemeClr>
          </a:fgClr>
          <a:bgClr>
            <a:schemeClr val="lt1"/>
          </a:bgClr>
        </a:pattFill>
        <a:ln>
          <a:noFill/>
        </a:ln>
        <a:effectLst/>
      </c:spPr>
    </c:plotArea>
    <c:plotVisOnly val="1"/>
    <c:dispBlanksAs val="gap"/>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На вулицях, дорогах, площах в межах населених пунктів</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119.5</c:v>
                </c:pt>
                <c:pt idx="1">
                  <c:v>139.5</c:v>
                </c:pt>
                <c:pt idx="2">
                  <c:v>520.79999999999995</c:v>
                </c:pt>
                <c:pt idx="3">
                  <c:v>395.4</c:v>
                </c:pt>
                <c:pt idx="4">
                  <c:v>204</c:v>
                </c:pt>
                <c:pt idx="5">
                  <c:v>196.61</c:v>
                </c:pt>
              </c:numCache>
            </c:numRef>
          </c:val>
        </c:ser>
        <c:ser>
          <c:idx val="1"/>
          <c:order val="1"/>
          <c:tx>
            <c:strRef>
              <c:f>label 1</c:f>
              <c:strCache>
                <c:ptCount val="1"/>
                <c:pt idx="0">
                  <c:v>В паркових зонах</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0.5</c:v>
                </c:pt>
                <c:pt idx="1">
                  <c:v>0.5</c:v>
                </c:pt>
                <c:pt idx="2">
                  <c:v>0.5</c:v>
                </c:pt>
                <c:pt idx="3">
                  <c:v>0.5</c:v>
                </c:pt>
                <c:pt idx="4">
                  <c:v>0.5</c:v>
                </c:pt>
                <c:pt idx="5">
                  <c:v>0.28999999999999998</c:v>
                </c:pt>
              </c:numCache>
            </c:numRef>
          </c:val>
        </c:ser>
        <c:dLbls>
          <c:showLegendKey val="0"/>
          <c:showVal val="0"/>
          <c:showCatName val="0"/>
          <c:showSerName val="0"/>
          <c:showPercent val="0"/>
          <c:showBubbleSize val="0"/>
        </c:dLbls>
        <c:axId val="229384960"/>
        <c:axId val="229386880"/>
      </c:areaChart>
      <c:catAx>
        <c:axId val="2293849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9386880"/>
        <c:crosses val="autoZero"/>
        <c:auto val="1"/>
        <c:lblAlgn val="ctr"/>
        <c:lblOffset val="100"/>
        <c:noMultiLvlLbl val="0"/>
      </c:catAx>
      <c:valAx>
        <c:axId val="22938688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9384960"/>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label 0</c:f>
              <c:strCache>
                <c:ptCount val="1"/>
                <c:pt idx="0">
                  <c:v>Серія1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c:spPr>
          </c:dPt>
          <c:dLbls>
            <c:dLbl>
              <c:idx val="0"/>
              <c:layout>
                <c:manualLayout>
                  <c:x val="0.17640832647300952"/>
                  <c:y val="-0.10809187663656127"/>
                </c:manualLayout>
              </c:layout>
              <c:numFmt formatCode="0.0%" sourceLinked="0"/>
              <c:spPr>
                <a:solidFill>
                  <a:schemeClr val="lt1">
                    <a:alpha val="90000"/>
                  </a:schemeClr>
                </a:solidFill>
                <a:ln w="12700" cap="flat" cmpd="sng" algn="ctr">
                  <a:solidFill>
                    <a:schemeClr val="accent1"/>
                  </a:solidFill>
                  <a:round/>
                </a:ln>
                <a:effectLst>
                  <a:outerShdw blurRad="50800" dist="38100" dir="2700000"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1"/>
                      </a:solidFill>
                      <a:latin typeface="+mn-lt"/>
                      <a:ea typeface="+mn-ea"/>
                      <a:cs typeface="+mn-cs"/>
                    </a:defRPr>
                  </a:pPr>
                  <a:endParaRPr lang="ru-RU"/>
                </a:p>
              </c:txPr>
              <c:dLblPos val="bestFit"/>
              <c:showLegendKey val="0"/>
              <c:showVal val="0"/>
              <c:showCatName val="1"/>
              <c:showSerName val="0"/>
              <c:showPercent val="1"/>
              <c:showBubbleSize val="1"/>
            </c:dLbl>
            <c:dLbl>
              <c:idx val="1"/>
              <c:layout>
                <c:manualLayout>
                  <c:x val="-0.15759143831588857"/>
                  <c:y val="7.9345815380839818E-2"/>
                </c:manualLayout>
              </c:layout>
              <c:numFmt formatCode="0.0%" sourceLinked="0"/>
              <c:spPr>
                <a:solidFill>
                  <a:schemeClr val="lt1">
                    <a:alpha val="90000"/>
                  </a:schemeClr>
                </a:solidFill>
                <a:ln w="12700" cap="flat" cmpd="sng" algn="ctr">
                  <a:solidFill>
                    <a:schemeClr val="accent2"/>
                  </a:solidFill>
                  <a:round/>
                </a:ln>
                <a:effectLst>
                  <a:outerShdw blurRad="50800" dist="38100" dir="2700000"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2"/>
                      </a:solidFill>
                      <a:latin typeface="+mn-lt"/>
                      <a:ea typeface="+mn-ea"/>
                      <a:cs typeface="+mn-cs"/>
                    </a:defRPr>
                  </a:pPr>
                  <a:endParaRPr lang="ru-RU"/>
                </a:p>
              </c:txPr>
              <c:dLblPos val="bestFit"/>
              <c:showLegendKey val="0"/>
              <c:showVal val="0"/>
              <c:showCatName val="1"/>
              <c:showSerName val="0"/>
              <c:showPercent val="1"/>
              <c:showBubbleSize val="1"/>
            </c:dLbl>
            <c:numFmt formatCode="0.0%" sourceLinked="0"/>
            <c:spPr>
              <a:solidFill>
                <a:sysClr val="window" lastClr="FFFFFF">
                  <a:alpha val="90000"/>
                </a:sysClr>
              </a:solidFill>
              <a:ln w="12700" cap="flat" cmpd="sng" algn="ctr">
                <a:solidFill>
                  <a:srgbClr val="4472C4"/>
                </a:solidFill>
                <a:round/>
              </a:ln>
              <a:effectLst>
                <a:outerShdw blurRad="50800" dist="38100" dir="2700000" rotWithShape="0">
                  <a:srgbClr val="4472C4">
                    <a:lumMod val="75000"/>
                    <a:alpha val="40000"/>
                  </a:srgbClr>
                </a:outerShdw>
              </a:effectLst>
            </c:spPr>
            <c:dLblPos val="inEnd"/>
            <c:showLegendKey val="0"/>
            <c:showVal val="0"/>
            <c:showCatName val="1"/>
            <c:showSerName val="0"/>
            <c:showPercent val="1"/>
            <c:showBubbleSize val="1"/>
            <c:separator>
</c:separator>
            <c:showLeaderLines val="0"/>
          </c:dLbls>
          <c:cat>
            <c:strRef>
              <c:f>categories</c:f>
              <c:strCache>
                <c:ptCount val="2"/>
                <c:pt idx="0">
                  <c:v>На вулицях, дорогах, площах в межах населених пунктів</c:v>
                </c:pt>
                <c:pt idx="1">
                  <c:v>В паркових зонах</c:v>
                </c:pt>
              </c:strCache>
            </c:strRef>
          </c:cat>
          <c:val>
            <c:numRef>
              <c:f>0</c:f>
              <c:numCache>
                <c:formatCode>General</c:formatCode>
                <c:ptCount val="2"/>
                <c:pt idx="0">
                  <c:v>1575.81</c:v>
                </c:pt>
                <c:pt idx="1">
                  <c:v>2.79</c:v>
                </c:pt>
              </c:numCache>
            </c:numRef>
          </c:val>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 - дизель</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1604.64</c:v>
                </c:pt>
                <c:pt idx="1">
                  <c:v>1888.01</c:v>
                </c:pt>
                <c:pt idx="2">
                  <c:v>1960.29</c:v>
                </c:pt>
                <c:pt idx="3">
                  <c:v>1494.02</c:v>
                </c:pt>
                <c:pt idx="4">
                  <c:v>4932.4799999999996</c:v>
                </c:pt>
                <c:pt idx="5">
                  <c:v>3864.18</c:v>
                </c:pt>
              </c:numCache>
            </c:numRef>
          </c:val>
        </c:ser>
        <c:ser>
          <c:idx val="1"/>
          <c:order val="1"/>
          <c:tx>
            <c:strRef>
              <c:f>label 1</c:f>
              <c:strCache>
                <c:ptCount val="1"/>
                <c:pt idx="0">
                  <c:v> - стиснений газ (метан)</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1509.75</c:v>
                </c:pt>
                <c:pt idx="1">
                  <c:v>1767.81</c:v>
                </c:pt>
                <c:pt idx="2">
                  <c:v>1647.01</c:v>
                </c:pt>
                <c:pt idx="3">
                  <c:v>1446.45</c:v>
                </c:pt>
                <c:pt idx="4">
                  <c:v>0</c:v>
                </c:pt>
                <c:pt idx="5">
                  <c:v>0</c:v>
                </c:pt>
              </c:numCache>
            </c:numRef>
          </c:val>
        </c:ser>
        <c:dLbls>
          <c:showLegendKey val="0"/>
          <c:showVal val="0"/>
          <c:showCatName val="0"/>
          <c:showSerName val="0"/>
          <c:showPercent val="0"/>
          <c:showBubbleSize val="0"/>
        </c:dLbls>
        <c:axId val="229613568"/>
        <c:axId val="229615104"/>
      </c:areaChart>
      <c:catAx>
        <c:axId val="2296135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9615104"/>
        <c:crosses val="autoZero"/>
        <c:auto val="1"/>
        <c:lblAlgn val="ctr"/>
        <c:lblOffset val="100"/>
        <c:noMultiLvlLbl val="0"/>
      </c:catAx>
      <c:valAx>
        <c:axId val="2296151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9613568"/>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громадські будівлі</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0</c:f>
              <c:numCache>
                <c:formatCode>General</c:formatCode>
                <c:ptCount val="7"/>
                <c:pt idx="1">
                  <c:v>1412.346</c:v>
                </c:pt>
                <c:pt idx="2">
                  <c:v>3665.0970000000002</c:v>
                </c:pt>
              </c:numCache>
            </c:numRef>
          </c:val>
        </c:ser>
        <c:ser>
          <c:idx val="1"/>
          <c:order val="1"/>
          <c:tx>
            <c:strRef>
              <c:f>label 1</c:f>
              <c:strCache>
                <c:ptCount val="1"/>
                <c:pt idx="0">
                  <c:v>житлові будівлі</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1</c:f>
              <c:numCache>
                <c:formatCode>General</c:formatCode>
                <c:ptCount val="7"/>
              </c:numCache>
            </c:numRef>
          </c:val>
        </c:ser>
        <c:ser>
          <c:idx val="2"/>
          <c:order val="2"/>
          <c:tx>
            <c:strRef>
              <c:f>label 2</c:f>
              <c:strCache>
                <c:ptCount val="1"/>
                <c:pt idx="0">
                  <c:v>сфера теплопостачання</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2</c:f>
              <c:numCache>
                <c:formatCode>General</c:formatCode>
                <c:ptCount val="7"/>
                <c:pt idx="4">
                  <c:v>318</c:v>
                </c:pt>
                <c:pt idx="6">
                  <c:v>298.7</c:v>
                </c:pt>
              </c:numCache>
            </c:numRef>
          </c:val>
        </c:ser>
        <c:ser>
          <c:idx val="3"/>
          <c:order val="3"/>
          <c:tx>
            <c:strRef>
              <c:f>label 3</c:f>
              <c:strCache>
                <c:ptCount val="1"/>
                <c:pt idx="0">
                  <c:v>сфера водопостачання і водовідведення</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3</c:f>
              <c:numCache>
                <c:formatCode>General</c:formatCode>
                <c:ptCount val="7"/>
                <c:pt idx="0">
                  <c:v>378.5</c:v>
                </c:pt>
                <c:pt idx="1">
                  <c:v>126.3</c:v>
                </c:pt>
                <c:pt idx="2">
                  <c:v>72.7</c:v>
                </c:pt>
                <c:pt idx="3">
                  <c:v>175</c:v>
                </c:pt>
                <c:pt idx="4">
                  <c:v>228.8</c:v>
                </c:pt>
                <c:pt idx="5">
                  <c:v>355.2</c:v>
                </c:pt>
                <c:pt idx="6">
                  <c:v>66.099999999999994</c:v>
                </c:pt>
              </c:numCache>
            </c:numRef>
          </c:val>
        </c:ser>
        <c:ser>
          <c:idx val="4"/>
          <c:order val="4"/>
          <c:tx>
            <c:strRef>
              <c:f>label 4</c:f>
              <c:strCache>
                <c:ptCount val="1"/>
                <c:pt idx="0">
                  <c:v>сфера управління побутовими відходами</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4</c:f>
              <c:numCache>
                <c:formatCode>General</c:formatCode>
                <c:ptCount val="7"/>
                <c:pt idx="0">
                  <c:v>1160.3</c:v>
                </c:pt>
                <c:pt idx="1">
                  <c:v>15</c:v>
                </c:pt>
                <c:pt idx="2">
                  <c:v>2920</c:v>
                </c:pt>
                <c:pt idx="3">
                  <c:v>44.2</c:v>
                </c:pt>
                <c:pt idx="4">
                  <c:v>0</c:v>
                </c:pt>
                <c:pt idx="5">
                  <c:v>0</c:v>
                </c:pt>
                <c:pt idx="6">
                  <c:v>219</c:v>
                </c:pt>
              </c:numCache>
            </c:numRef>
          </c:val>
        </c:ser>
        <c:ser>
          <c:idx val="5"/>
          <c:order val="5"/>
          <c:tx>
            <c:strRef>
              <c:f>label 5</c:f>
              <c:strCache>
                <c:ptCount val="1"/>
                <c:pt idx="0">
                  <c:v>зовнішнє освітлення</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5</c:f>
              <c:numCache>
                <c:formatCode>General</c:formatCode>
                <c:ptCount val="7"/>
                <c:pt idx="0">
                  <c:v>243.07599999999999</c:v>
                </c:pt>
                <c:pt idx="1">
                  <c:v>1260.5709999999999</c:v>
                </c:pt>
                <c:pt idx="2">
                  <c:v>1300.8219999999999</c:v>
                </c:pt>
                <c:pt idx="3">
                  <c:v>2650.0819999999999</c:v>
                </c:pt>
                <c:pt idx="4">
                  <c:v>399.24</c:v>
                </c:pt>
                <c:pt idx="5">
                  <c:v>0</c:v>
                </c:pt>
              </c:numCache>
            </c:numRef>
          </c:val>
        </c:ser>
        <c:ser>
          <c:idx val="6"/>
          <c:order val="6"/>
          <c:tx>
            <c:strRef>
              <c:f>label 6</c:f>
              <c:strCache>
                <c:ptCount val="1"/>
                <c:pt idx="0">
                  <c:v>громадський транспорт </c:v>
                </c:pt>
              </c:strCache>
            </c:strRef>
          </c:tx>
          <c:spPr>
            <a:solidFill>
              <a:schemeClr val="accent1">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6</c:f>
              <c:numCache>
                <c:formatCode>General</c:formatCode>
                <c:ptCount val="7"/>
              </c:numCache>
            </c:numRef>
          </c:val>
        </c:ser>
        <c:dLbls>
          <c:showLegendKey val="0"/>
          <c:showVal val="0"/>
          <c:showCatName val="0"/>
          <c:showSerName val="0"/>
          <c:showPercent val="0"/>
          <c:showBubbleSize val="0"/>
        </c:dLbls>
        <c:axId val="229954304"/>
        <c:axId val="229956224"/>
      </c:areaChart>
      <c:catAx>
        <c:axId val="22995430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9956224"/>
        <c:crosses val="autoZero"/>
        <c:auto val="1"/>
        <c:lblAlgn val="ctr"/>
        <c:lblOffset val="100"/>
        <c:noMultiLvlLbl val="0"/>
      </c:catAx>
      <c:valAx>
        <c:axId val="2299562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9954304"/>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label 0</c:f>
              <c:strCache>
                <c:ptCount val="1"/>
                <c:pt idx="0">
                  <c:v>Серія1</c:v>
                </c:pt>
              </c:strCache>
            </c:strRef>
          </c:tx>
          <c:dPt>
            <c:idx val="0"/>
            <c:bubble3D val="0"/>
            <c:spPr>
              <a:solidFill>
                <a:schemeClr val="accent1"/>
              </a:solidFill>
              <a:ln>
                <a:noFill/>
              </a:ln>
              <a:effectLst>
                <a:outerShdw blurRad="254000" sx="102000" sy="102000" rotWithShape="0">
                  <a:prstClr val="black">
                    <a:alpha val="20000"/>
                  </a:prstClr>
                </a:outerShdw>
              </a:effectLst>
            </c:spPr>
          </c:dPt>
          <c:dPt>
            <c:idx val="1"/>
            <c:bubble3D val="0"/>
            <c:spPr>
              <a:solidFill>
                <a:schemeClr val="accent2"/>
              </a:solidFill>
              <a:ln>
                <a:noFill/>
              </a:ln>
              <a:effectLst>
                <a:outerShdw blurRad="254000" sx="102000" sy="102000" rotWithShape="0">
                  <a:prstClr val="black">
                    <a:alpha val="20000"/>
                  </a:prstClr>
                </a:outerShdw>
              </a:effectLst>
            </c:spPr>
          </c:dPt>
          <c:dPt>
            <c:idx val="2"/>
            <c:bubble3D val="0"/>
            <c:spPr>
              <a:solidFill>
                <a:schemeClr val="accent3"/>
              </a:solidFill>
              <a:ln>
                <a:noFill/>
              </a:ln>
              <a:effectLst>
                <a:outerShdw blurRad="254000" sx="102000" sy="102000" rotWithShape="0">
                  <a:prstClr val="black">
                    <a:alpha val="20000"/>
                  </a:prstClr>
                </a:outerShdw>
              </a:effectLst>
            </c:spPr>
          </c:dPt>
          <c:dPt>
            <c:idx val="3"/>
            <c:bubble3D val="0"/>
            <c:spPr>
              <a:solidFill>
                <a:schemeClr val="accent4"/>
              </a:solidFill>
              <a:ln>
                <a:noFill/>
              </a:ln>
              <a:effectLst>
                <a:outerShdw blurRad="254000" sx="102000" sy="102000" rotWithShape="0">
                  <a:prstClr val="black">
                    <a:alpha val="20000"/>
                  </a:prstClr>
                </a:outerShdw>
              </a:effectLst>
            </c:spPr>
          </c:dPt>
          <c:dPt>
            <c:idx val="4"/>
            <c:bubble3D val="0"/>
            <c:spPr>
              <a:solidFill>
                <a:schemeClr val="accent5"/>
              </a:solidFill>
              <a:ln>
                <a:noFill/>
              </a:ln>
              <a:effectLst>
                <a:outerShdw blurRad="254000" sx="102000" sy="102000" rotWithShape="0">
                  <a:prstClr val="black">
                    <a:alpha val="20000"/>
                  </a:prstClr>
                </a:outerShdw>
              </a:effectLst>
            </c:spPr>
          </c:dPt>
          <c:dPt>
            <c:idx val="5"/>
            <c:bubble3D val="0"/>
            <c:spPr>
              <a:solidFill>
                <a:schemeClr val="accent6"/>
              </a:solidFill>
              <a:ln>
                <a:noFill/>
              </a:ln>
              <a:effectLst>
                <a:outerShdw blurRad="254000" sx="102000" sy="102000" rotWithShape="0">
                  <a:prstClr val="black">
                    <a:alpha val="20000"/>
                  </a:prstClr>
                </a:outerShdw>
              </a:effectLst>
            </c:spPr>
          </c:dPt>
          <c:dPt>
            <c:idx val="6"/>
            <c:bubble3D val="0"/>
            <c:spPr>
              <a:solidFill>
                <a:schemeClr val="accent1">
                  <a:lumMod val="60000"/>
                </a:schemeClr>
              </a:solidFill>
              <a:ln>
                <a:noFill/>
              </a:ln>
              <a:effectLst>
                <a:outerShdw blurRad="254000" sx="102000" sy="102000" rotWithShape="0">
                  <a:prstClr val="black">
                    <a:alpha val="20000"/>
                  </a:prstClr>
                </a:outerShdw>
              </a:effectLst>
            </c:spPr>
          </c:dPt>
          <c:dLbls>
            <c:dLbl>
              <c:idx val="0"/>
              <c:dLblPos val="ctr"/>
              <c:showLegendKey val="0"/>
              <c:showVal val="0"/>
              <c:showCatName val="0"/>
              <c:showSerName val="0"/>
              <c:showPercent val="1"/>
              <c:showBubbleSize val="1"/>
            </c:dLbl>
            <c:dLbl>
              <c:idx val="1"/>
              <c:layout>
                <c:manualLayout>
                  <c:x val="1.2028918001150126E-2"/>
                  <c:y val="-0.10613687070814054"/>
                </c:manualLayout>
              </c:layout>
              <c:dLblPos val="bestFit"/>
              <c:showLegendKey val="0"/>
              <c:showVal val="0"/>
              <c:showCatName val="0"/>
              <c:showSerName val="0"/>
              <c:showPercent val="1"/>
              <c:showBubbleSize val="1"/>
            </c:dLbl>
            <c:dLbl>
              <c:idx val="2"/>
              <c:dLblPos val="ctr"/>
              <c:showLegendKey val="0"/>
              <c:showVal val="0"/>
              <c:showCatName val="0"/>
              <c:showSerName val="0"/>
              <c:showPercent val="1"/>
              <c:showBubbleSize val="1"/>
            </c:dLbl>
            <c:dLbl>
              <c:idx val="3"/>
              <c:dLblPos val="ctr"/>
              <c:showLegendKey val="0"/>
              <c:showVal val="0"/>
              <c:showCatName val="0"/>
              <c:showSerName val="0"/>
              <c:showPercent val="1"/>
              <c:showBubbleSize val="1"/>
            </c:dLbl>
            <c:dLbl>
              <c:idx val="4"/>
              <c:dLblPos val="ctr"/>
              <c:showLegendKey val="0"/>
              <c:showVal val="0"/>
              <c:showCatName val="0"/>
              <c:showSerName val="0"/>
              <c:showPercent val="1"/>
              <c:showBubbleSize val="1"/>
            </c:dLbl>
            <c:dLbl>
              <c:idx val="5"/>
              <c:dLblPos val="ctr"/>
              <c:showLegendKey val="0"/>
              <c:showVal val="0"/>
              <c:showCatName val="0"/>
              <c:showSerName val="0"/>
              <c:showPercent val="1"/>
              <c:showBubbleSize val="1"/>
            </c:dLbl>
            <c:dLbl>
              <c:idx val="6"/>
              <c:layout>
                <c:manualLayout>
                  <c:x val="-2.353037047600572E-3"/>
                  <c:y val="2.9485454340258161E-3"/>
                </c:manualLayout>
              </c:layout>
              <c:dLblPos val="bestFit"/>
              <c:showLegendKey val="0"/>
              <c:showVal val="0"/>
              <c:showCatName val="0"/>
              <c:showSerName val="0"/>
              <c:showPercent val="1"/>
              <c:showBubbleSize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a:solidFill>
                      <a:schemeClr val="lt1"/>
                    </a:solidFill>
                    <a:latin typeface="+mn-lt"/>
                    <a:ea typeface="+mn-ea"/>
                    <a:cs typeface="+mn-cs"/>
                  </a:defRPr>
                </a:pPr>
                <a:endParaRPr lang="ru-RU"/>
              </a:p>
            </c:txPr>
            <c:dLblPos val="ctr"/>
            <c:showLegendKey val="0"/>
            <c:showVal val="0"/>
            <c:showCatName val="0"/>
            <c:showSerName val="0"/>
            <c:showPercent val="1"/>
            <c:showBubbleSize val="1"/>
            <c:separator>
</c:separator>
            <c:showLeaderLines val="0"/>
          </c:dLbls>
          <c:cat>
            <c:strRef>
              <c:f>categories</c:f>
              <c:strCache>
                <c:ptCount val="7"/>
                <c:pt idx="0">
                  <c:v>громадські будівлі</c:v>
                </c:pt>
                <c:pt idx="1">
                  <c:v>житлові будівлі</c:v>
                </c:pt>
                <c:pt idx="2">
                  <c:v>сфера теплопостачання</c:v>
                </c:pt>
                <c:pt idx="3">
                  <c:v>сфера водопостачання і водовідведення</c:v>
                </c:pt>
                <c:pt idx="4">
                  <c:v>сфера управління побутовими відходами</c:v>
                </c:pt>
                <c:pt idx="5">
                  <c:v>зовнішнє освітлення</c:v>
                </c:pt>
                <c:pt idx="6">
                  <c:v>громадський транспорт </c:v>
                </c:pt>
              </c:strCache>
            </c:strRef>
          </c:cat>
          <c:val>
            <c:numRef>
              <c:f>0</c:f>
              <c:numCache>
                <c:formatCode>General</c:formatCode>
                <c:ptCount val="7"/>
                <c:pt idx="0">
                  <c:v>5077.4430000000002</c:v>
                </c:pt>
                <c:pt idx="1">
                  <c:v>0</c:v>
                </c:pt>
                <c:pt idx="2">
                  <c:v>616.70000000000005</c:v>
                </c:pt>
                <c:pt idx="3">
                  <c:v>1402.6</c:v>
                </c:pt>
                <c:pt idx="4">
                  <c:v>4358.5</c:v>
                </c:pt>
                <c:pt idx="5">
                  <c:v>5853.7910000000002</c:v>
                </c:pt>
                <c:pt idx="6">
                  <c:v>0</c:v>
                </c:pt>
              </c:numCache>
            </c:numRef>
          </c:val>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a:solidFill>
                <a:schemeClr val="dk1">
                  <a:lumMod val="75000"/>
                  <a:lumOff val="25000"/>
                </a:schemeClr>
              </a:solidFill>
              <a:latin typeface="+mn-lt"/>
              <a:ea typeface="+mn-ea"/>
              <a:cs typeface="+mn-cs"/>
            </a:defRPr>
          </a:pPr>
          <a:endParaRPr lang="ru-RU"/>
        </a:p>
      </c:txPr>
    </c:legend>
    <c:plotVisOnly val="1"/>
    <c:dispBlanksAs val="gap"/>
    <c:showDLblsOverMax val="1"/>
  </c:chart>
  <c:spPr>
    <a:gradFill>
      <a:gsLst>
        <a:gs pos="0">
          <a:schemeClr val="lt1"/>
        </a:gs>
        <a:gs pos="39000">
          <a:schemeClr val="lt1"/>
        </a:gs>
        <a:gs pos="100000">
          <a:schemeClr val="lt1">
            <a:lumMod val="75000"/>
          </a:schemeClr>
        </a:gs>
      </a:gsLst>
      <a:path path="circle"/>
    </a:gradFill>
    <a:ln w="9525" cap="flat" cmpd="sng" algn="ctr">
      <a:solidFill>
        <a:schemeClr val="dk1">
          <a:lumMod val="25000"/>
          <a:lumOff val="75000"/>
        </a:schemeClr>
      </a:solidFill>
      <a:round/>
    </a:ln>
    <a:effectLst/>
  </c:spPr>
  <c:txPr>
    <a:bodyPr/>
    <a:lstStyle/>
    <a:p>
      <a:pPr>
        <a:defRPr/>
      </a:pPr>
      <a:endParaRPr lang="ru-RU"/>
    </a:p>
  </c:txPr>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Бюджет місцевого самоврядування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1">
                  <c:v>1412.346</c:v>
                </c:pt>
                <c:pt idx="2">
                  <c:v>3665.0970000000002</c:v>
                </c:pt>
              </c:numCache>
            </c:numRef>
          </c:val>
        </c:ser>
        <c:dLbls>
          <c:showLegendKey val="0"/>
          <c:showVal val="0"/>
          <c:showCatName val="0"/>
          <c:showSerName val="0"/>
          <c:showPercent val="0"/>
          <c:showBubbleSize val="0"/>
        </c:dLbls>
        <c:axId val="229712256"/>
        <c:axId val="229714176"/>
      </c:areaChart>
      <c:catAx>
        <c:axId val="22971225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uk-UA"/>
                  <a:t>Роки</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9714176"/>
        <c:crosses val="autoZero"/>
        <c:auto val="1"/>
        <c:lblAlgn val="ctr"/>
        <c:lblOffset val="100"/>
        <c:noMultiLvlLbl val="0"/>
      </c:catAx>
      <c:valAx>
        <c:axId val="2297141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uk-UA"/>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971225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Бюджет місцевого самоврядування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0</c:f>
              <c:numCache>
                <c:formatCode>General</c:formatCode>
                <c:ptCount val="7"/>
                <c:pt idx="4">
                  <c:v>318</c:v>
                </c:pt>
                <c:pt idx="6">
                  <c:v>298.7</c:v>
                </c:pt>
              </c:numCache>
            </c:numRef>
          </c:val>
        </c:ser>
        <c:dLbls>
          <c:showLegendKey val="0"/>
          <c:showVal val="0"/>
          <c:showCatName val="0"/>
          <c:showSerName val="0"/>
          <c:showPercent val="0"/>
          <c:showBubbleSize val="0"/>
        </c:dLbls>
        <c:axId val="229730560"/>
        <c:axId val="229753216"/>
      </c:areaChart>
      <c:catAx>
        <c:axId val="2297305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9753216"/>
        <c:crosses val="autoZero"/>
        <c:auto val="1"/>
        <c:lblAlgn val="ctr"/>
        <c:lblOffset val="100"/>
        <c:noMultiLvlLbl val="0"/>
      </c:catAx>
      <c:valAx>
        <c:axId val="2297532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973056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1"/>
        <c:ser>
          <c:idx val="0"/>
          <c:order val="0"/>
          <c:tx>
            <c:strRef>
              <c:f>label 0</c:f>
              <c:strCache>
                <c:ptCount val="1"/>
                <c:pt idx="0">
                  <c:v>Водопостачання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strCache>
            </c:strRef>
          </c:cat>
          <c:val>
            <c:numRef>
              <c:f>0</c:f>
              <c:numCache>
                <c:formatCode>General</c:formatCode>
                <c:ptCount val="7"/>
                <c:pt idx="0">
                  <c:v>352.1</c:v>
                </c:pt>
                <c:pt idx="1">
                  <c:v>116.5</c:v>
                </c:pt>
                <c:pt idx="2">
                  <c:v>47</c:v>
                </c:pt>
                <c:pt idx="3">
                  <c:v>155.5</c:v>
                </c:pt>
                <c:pt idx="4">
                  <c:v>205.3</c:v>
                </c:pt>
                <c:pt idx="5">
                  <c:v>262.2</c:v>
                </c:pt>
                <c:pt idx="6">
                  <c:v>47.1</c:v>
                </c:pt>
              </c:numCache>
            </c:numRef>
          </c:val>
        </c:ser>
        <c:ser>
          <c:idx val="1"/>
          <c:order val="1"/>
          <c:tx>
            <c:strRef>
              <c:f>label 1</c:f>
              <c:strCache>
                <c:ptCount val="1"/>
                <c:pt idx="0">
                  <c:v>Водовідведення </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strCache>
            </c:strRef>
          </c:cat>
          <c:val>
            <c:numRef>
              <c:f>1</c:f>
              <c:numCache>
                <c:formatCode>General</c:formatCode>
                <c:ptCount val="7"/>
                <c:pt idx="0">
                  <c:v>26.4</c:v>
                </c:pt>
                <c:pt idx="1">
                  <c:v>9.8000000000000007</c:v>
                </c:pt>
                <c:pt idx="2">
                  <c:v>25.7</c:v>
                </c:pt>
                <c:pt idx="3">
                  <c:v>19.5</c:v>
                </c:pt>
                <c:pt idx="4">
                  <c:v>23.5</c:v>
                </c:pt>
                <c:pt idx="5">
                  <c:v>93</c:v>
                </c:pt>
                <c:pt idx="6">
                  <c:v>19</c:v>
                </c:pt>
              </c:numCache>
            </c:numRef>
          </c:val>
        </c:ser>
        <c:dLbls>
          <c:showLegendKey val="0"/>
          <c:showVal val="0"/>
          <c:showCatName val="0"/>
          <c:showSerName val="0"/>
          <c:showPercent val="0"/>
          <c:showBubbleSize val="0"/>
        </c:dLbls>
        <c:axId val="229848960"/>
        <c:axId val="229875712"/>
      </c:areaChart>
      <c:catAx>
        <c:axId val="2298489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9875712"/>
        <c:crosses val="autoZero"/>
        <c:auto val="1"/>
        <c:lblAlgn val="ctr"/>
        <c:lblOffset val="100"/>
        <c:noMultiLvlLbl val="0"/>
      </c:catAx>
      <c:valAx>
        <c:axId val="22987571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9848960"/>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1"/>
        <c:ser>
          <c:idx val="0"/>
          <c:order val="0"/>
          <c:tx>
            <c:strRef>
              <c:f>label 0</c:f>
              <c:strCache>
                <c:ptCount val="1"/>
                <c:pt idx="0">
                  <c:v>З власних коштів підприємства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strCache>
            </c:strRef>
          </c:cat>
          <c:val>
            <c:numRef>
              <c:f>0</c:f>
              <c:numCache>
                <c:formatCode>General</c:formatCode>
                <c:ptCount val="7"/>
                <c:pt idx="0">
                  <c:v>76.8</c:v>
                </c:pt>
                <c:pt idx="1">
                  <c:v>105.3</c:v>
                </c:pt>
                <c:pt idx="2">
                  <c:v>72.7</c:v>
                </c:pt>
                <c:pt idx="3">
                  <c:v>93</c:v>
                </c:pt>
                <c:pt idx="4">
                  <c:v>100.5</c:v>
                </c:pt>
                <c:pt idx="5">
                  <c:v>150.69999999999999</c:v>
                </c:pt>
                <c:pt idx="6">
                  <c:v>66.099999999999994</c:v>
                </c:pt>
              </c:numCache>
            </c:numRef>
          </c:val>
        </c:ser>
        <c:ser>
          <c:idx val="1"/>
          <c:order val="1"/>
          <c:tx>
            <c:strRef>
              <c:f>label 1</c:f>
              <c:strCache>
                <c:ptCount val="1"/>
                <c:pt idx="0">
                  <c:v>З місцевого бюджету</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strCache>
            </c:strRef>
          </c:cat>
          <c:val>
            <c:numRef>
              <c:f>1</c:f>
              <c:numCache>
                <c:formatCode>General</c:formatCode>
                <c:ptCount val="7"/>
                <c:pt idx="0">
                  <c:v>301.7</c:v>
                </c:pt>
                <c:pt idx="1">
                  <c:v>21</c:v>
                </c:pt>
                <c:pt idx="2">
                  <c:v>0</c:v>
                </c:pt>
                <c:pt idx="3">
                  <c:v>82</c:v>
                </c:pt>
                <c:pt idx="4">
                  <c:v>128.30000000000001</c:v>
                </c:pt>
                <c:pt idx="5">
                  <c:v>204.5</c:v>
                </c:pt>
                <c:pt idx="6">
                  <c:v>0</c:v>
                </c:pt>
              </c:numCache>
            </c:numRef>
          </c:val>
        </c:ser>
        <c:dLbls>
          <c:showLegendKey val="0"/>
          <c:showVal val="0"/>
          <c:showCatName val="0"/>
          <c:showSerName val="0"/>
          <c:showPercent val="0"/>
          <c:showBubbleSize val="0"/>
        </c:dLbls>
        <c:axId val="230311808"/>
        <c:axId val="230318080"/>
      </c:areaChart>
      <c:catAx>
        <c:axId val="23031180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30318080"/>
        <c:crosses val="autoZero"/>
        <c:auto val="1"/>
        <c:lblAlgn val="ctr"/>
        <c:lblOffset val="100"/>
        <c:noMultiLvlLbl val="0"/>
      </c:catAx>
      <c:valAx>
        <c:axId val="23031808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30311808"/>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Водопостачання -  З власних коштів підприємства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0</c:f>
              <c:numCache>
                <c:formatCode>General</c:formatCode>
                <c:ptCount val="7"/>
                <c:pt idx="0">
                  <c:v>50.4</c:v>
                </c:pt>
                <c:pt idx="1">
                  <c:v>95.5</c:v>
                </c:pt>
                <c:pt idx="2">
                  <c:v>47</c:v>
                </c:pt>
                <c:pt idx="3">
                  <c:v>73.5</c:v>
                </c:pt>
                <c:pt idx="4">
                  <c:v>87</c:v>
                </c:pt>
                <c:pt idx="5">
                  <c:v>139.4</c:v>
                </c:pt>
                <c:pt idx="6">
                  <c:v>47.1</c:v>
                </c:pt>
              </c:numCache>
            </c:numRef>
          </c:val>
        </c:ser>
        <c:ser>
          <c:idx val="1"/>
          <c:order val="1"/>
          <c:tx>
            <c:strRef>
              <c:f>label 1</c:f>
              <c:strCache>
                <c:ptCount val="1"/>
                <c:pt idx="0">
                  <c:v>Водопостачання - З місцевого бюджету</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1</c:f>
              <c:numCache>
                <c:formatCode>General</c:formatCode>
                <c:ptCount val="7"/>
                <c:pt idx="0">
                  <c:v>301.7</c:v>
                </c:pt>
                <c:pt idx="1">
                  <c:v>21</c:v>
                </c:pt>
                <c:pt idx="3">
                  <c:v>82</c:v>
                </c:pt>
                <c:pt idx="4">
                  <c:v>118.3</c:v>
                </c:pt>
                <c:pt idx="5">
                  <c:v>122.8</c:v>
                </c:pt>
              </c:numCache>
            </c:numRef>
          </c:val>
        </c:ser>
        <c:ser>
          <c:idx val="2"/>
          <c:order val="2"/>
          <c:tx>
            <c:strRef>
              <c:f>label 2</c:f>
              <c:strCache>
                <c:ptCount val="1"/>
                <c:pt idx="0">
                  <c:v>Водовідведення -  З власних коштів підприємства</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2</c:f>
              <c:numCache>
                <c:formatCode>General</c:formatCode>
                <c:ptCount val="7"/>
                <c:pt idx="0">
                  <c:v>26.4</c:v>
                </c:pt>
                <c:pt idx="1">
                  <c:v>9.8000000000000007</c:v>
                </c:pt>
                <c:pt idx="2">
                  <c:v>25.7</c:v>
                </c:pt>
                <c:pt idx="3">
                  <c:v>19.5</c:v>
                </c:pt>
                <c:pt idx="4">
                  <c:v>13.5</c:v>
                </c:pt>
                <c:pt idx="5">
                  <c:v>11.3</c:v>
                </c:pt>
                <c:pt idx="6">
                  <c:v>19</c:v>
                </c:pt>
              </c:numCache>
            </c:numRef>
          </c:val>
        </c:ser>
        <c:ser>
          <c:idx val="3"/>
          <c:order val="3"/>
          <c:tx>
            <c:strRef>
              <c:f>label 3</c:f>
              <c:strCache>
                <c:ptCount val="1"/>
                <c:pt idx="0">
                  <c:v>Водовідведення - З місцевого бюджету</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3</c:f>
              <c:numCache>
                <c:formatCode>General</c:formatCode>
                <c:ptCount val="7"/>
                <c:pt idx="4">
                  <c:v>10</c:v>
                </c:pt>
                <c:pt idx="5">
                  <c:v>81.7</c:v>
                </c:pt>
              </c:numCache>
            </c:numRef>
          </c:val>
        </c:ser>
        <c:dLbls>
          <c:showLegendKey val="0"/>
          <c:showVal val="0"/>
          <c:showCatName val="0"/>
          <c:showSerName val="0"/>
          <c:showPercent val="0"/>
          <c:showBubbleSize val="0"/>
        </c:dLbls>
        <c:axId val="230252544"/>
        <c:axId val="230254464"/>
      </c:areaChart>
      <c:catAx>
        <c:axId val="23025254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30254464"/>
        <c:crosses val="autoZero"/>
        <c:auto val="1"/>
        <c:lblAlgn val="ctr"/>
        <c:lblOffset val="100"/>
        <c:noMultiLvlLbl val="0"/>
      </c:catAx>
      <c:valAx>
        <c:axId val="23025446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30252544"/>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1"/>
        <c:ser>
          <c:idx val="0"/>
          <c:order val="0"/>
          <c:tx>
            <c:strRef>
              <c:f>label 0</c:f>
              <c:strCache>
                <c:ptCount val="1"/>
                <c:pt idx="0">
                  <c:v>Споживання ЕЕ</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0</c:f>
              <c:numCache>
                <c:formatCode>General</c:formatCode>
                <c:ptCount val="7"/>
                <c:pt idx="0">
                  <c:v>22.225000000000001</c:v>
                </c:pt>
                <c:pt idx="1">
                  <c:v>20.125</c:v>
                </c:pt>
                <c:pt idx="2">
                  <c:v>20.446999999999999</c:v>
                </c:pt>
                <c:pt idx="3">
                  <c:v>20.193000000000001</c:v>
                </c:pt>
                <c:pt idx="4">
                  <c:v>23.876000000000001</c:v>
                </c:pt>
                <c:pt idx="5">
                  <c:v>22.6</c:v>
                </c:pt>
                <c:pt idx="6">
                  <c:v>12.192</c:v>
                </c:pt>
              </c:numCache>
            </c:numRef>
          </c:val>
        </c:ser>
        <c:dLbls>
          <c:showLegendKey val="0"/>
          <c:showVal val="0"/>
          <c:showCatName val="0"/>
          <c:showSerName val="0"/>
          <c:showPercent val="0"/>
          <c:showBubbleSize val="0"/>
        </c:dLbls>
        <c:axId val="228330880"/>
        <c:axId val="228333056"/>
      </c:areaChart>
      <c:catAx>
        <c:axId val="22833088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uk-UA"/>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8333056"/>
        <c:crosses val="autoZero"/>
        <c:auto val="1"/>
        <c:lblAlgn val="ctr"/>
        <c:lblOffset val="100"/>
        <c:noMultiLvlLbl val="0"/>
      </c:catAx>
      <c:valAx>
        <c:axId val="2283330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uk-UA"/>
                  <a:t>МВт*год</a:t>
                </a:r>
                <a:endParaRPr/>
              </a:p>
            </c:rich>
          </c:tx>
          <c:overlay val="0"/>
          <c:spPr>
            <a:noFill/>
            <a:ln>
              <a:noFill/>
            </a:ln>
            <a:effectLst/>
          </c:spPr>
        </c:title>
        <c:numFmt formatCode="\ * #,##0.0\ ;\-* #,##0.0\ ;\ * \-#\ ;\ @\ "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833088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label 0</c:f>
              <c:strCache>
                <c:ptCount val="1"/>
                <c:pt idx="0">
                  <c:v>Серія1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c:spPr>
          </c:dPt>
          <c:dLbls>
            <c:dLbl>
              <c:idx val="0"/>
              <c:spPr>
                <a:solidFill>
                  <a:schemeClr val="lt1">
                    <a:alpha val="90000"/>
                  </a:schemeClr>
                </a:solidFill>
                <a:ln w="12700" cap="flat" cmpd="sng" algn="ctr">
                  <a:solidFill>
                    <a:schemeClr val="accent1"/>
                  </a:solidFill>
                  <a:round/>
                </a:ln>
                <a:effectLst>
                  <a:outerShdw blurRad="50800" dist="38100" dir="2700000"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1"/>
                      </a:solidFill>
                      <a:latin typeface="+mn-lt"/>
                      <a:ea typeface="+mn-ea"/>
                      <a:cs typeface="+mn-cs"/>
                    </a:defRPr>
                  </a:pPr>
                  <a:endParaRPr lang="ru-RU"/>
                </a:p>
              </c:txPr>
              <c:dLblPos val="inEnd"/>
              <c:showLegendKey val="0"/>
              <c:showVal val="0"/>
              <c:showCatName val="1"/>
              <c:showSerName val="0"/>
              <c:showPercent val="1"/>
              <c:showBubbleSize val="1"/>
            </c:dLbl>
            <c:dLbl>
              <c:idx val="1"/>
              <c:spPr>
                <a:solidFill>
                  <a:schemeClr val="lt1">
                    <a:alpha val="90000"/>
                  </a:schemeClr>
                </a:solidFill>
                <a:ln w="12700" cap="flat" cmpd="sng" algn="ctr">
                  <a:solidFill>
                    <a:schemeClr val="accent2"/>
                  </a:solidFill>
                  <a:round/>
                </a:ln>
                <a:effectLst>
                  <a:outerShdw blurRad="50800" dist="38100" dir="2700000"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2"/>
                      </a:solidFill>
                      <a:latin typeface="+mn-lt"/>
                      <a:ea typeface="+mn-ea"/>
                      <a:cs typeface="+mn-cs"/>
                    </a:defRPr>
                  </a:pPr>
                  <a:endParaRPr lang="ru-RU"/>
                </a:p>
              </c:txPr>
              <c:dLblPos val="inEnd"/>
              <c:showLegendKey val="0"/>
              <c:showVal val="0"/>
              <c:showCatName val="1"/>
              <c:showSerName val="0"/>
              <c:showPercent val="1"/>
              <c:showBubbleSize val="1"/>
            </c:dLbl>
            <c:spPr>
              <a:solidFill>
                <a:sysClr val="window" lastClr="FFFFFF">
                  <a:alpha val="90000"/>
                </a:sysClr>
              </a:solidFill>
              <a:ln w="12700" cap="flat" cmpd="sng" algn="ctr">
                <a:solidFill>
                  <a:srgbClr val="4472C4"/>
                </a:solidFill>
                <a:round/>
              </a:ln>
              <a:effectLst>
                <a:outerShdw blurRad="50800" dist="38100" dir="2700000" rotWithShape="0">
                  <a:srgbClr val="4472C4">
                    <a:lumMod val="75000"/>
                    <a:alpha val="40000"/>
                  </a:srgbClr>
                </a:outerShdw>
              </a:effectLst>
            </c:spPr>
            <c:dLblPos val="inEnd"/>
            <c:showLegendKey val="0"/>
            <c:showVal val="0"/>
            <c:showCatName val="1"/>
            <c:showSerName val="0"/>
            <c:showPercent val="1"/>
            <c:showBubbleSize val="1"/>
            <c:separator>
</c:separator>
            <c:showLeaderLines val="0"/>
          </c:dLbls>
          <c:cat>
            <c:strRef>
              <c:f>categories</c:f>
              <c:strCache>
                <c:ptCount val="2"/>
                <c:pt idx="0">
                  <c:v>З власних коштів підприємства</c:v>
                </c:pt>
                <c:pt idx="1">
                  <c:v>З місцевого бюджету</c:v>
                </c:pt>
              </c:strCache>
            </c:strRef>
          </c:cat>
          <c:val>
            <c:numRef>
              <c:f>0</c:f>
              <c:numCache>
                <c:formatCode>General</c:formatCode>
                <c:ptCount val="2"/>
                <c:pt idx="0">
                  <c:v>665.1</c:v>
                </c:pt>
                <c:pt idx="1">
                  <c:v>737.5</c:v>
                </c:pt>
              </c:numCache>
            </c:numRef>
          </c:val>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label 0</c:f>
              <c:strCache>
                <c:ptCount val="1"/>
                <c:pt idx="0">
                  <c:v>Серія1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c:spPr>
          </c:dPt>
          <c:dLbls>
            <c:dLbl>
              <c:idx val="0"/>
              <c:spPr>
                <a:solidFill>
                  <a:schemeClr val="lt1">
                    <a:alpha val="90000"/>
                  </a:schemeClr>
                </a:solidFill>
                <a:ln w="12700" cap="flat" cmpd="sng" algn="ctr">
                  <a:solidFill>
                    <a:schemeClr val="accent1"/>
                  </a:solidFill>
                  <a:round/>
                </a:ln>
                <a:effectLst>
                  <a:outerShdw blurRad="50800" dist="38100" dir="2700000"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1"/>
                      </a:solidFill>
                      <a:latin typeface="+mn-lt"/>
                      <a:ea typeface="+mn-ea"/>
                      <a:cs typeface="+mn-cs"/>
                    </a:defRPr>
                  </a:pPr>
                  <a:endParaRPr lang="ru-RU"/>
                </a:p>
              </c:txPr>
              <c:dLblPos val="inEnd"/>
              <c:showLegendKey val="0"/>
              <c:showVal val="0"/>
              <c:showCatName val="1"/>
              <c:showSerName val="0"/>
              <c:showPercent val="1"/>
              <c:showBubbleSize val="1"/>
            </c:dLbl>
            <c:dLbl>
              <c:idx val="1"/>
              <c:spPr>
                <a:solidFill>
                  <a:schemeClr val="lt1">
                    <a:alpha val="90000"/>
                  </a:schemeClr>
                </a:solidFill>
                <a:ln w="12700" cap="flat" cmpd="sng" algn="ctr">
                  <a:solidFill>
                    <a:schemeClr val="accent2"/>
                  </a:solidFill>
                  <a:round/>
                </a:ln>
                <a:effectLst>
                  <a:outerShdw blurRad="50800" dist="38100" dir="2700000"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2"/>
                      </a:solidFill>
                      <a:latin typeface="+mn-lt"/>
                      <a:ea typeface="+mn-ea"/>
                      <a:cs typeface="+mn-cs"/>
                    </a:defRPr>
                  </a:pPr>
                  <a:endParaRPr lang="ru-RU"/>
                </a:p>
              </c:txPr>
              <c:dLblPos val="inEnd"/>
              <c:showLegendKey val="0"/>
              <c:showVal val="0"/>
              <c:showCatName val="1"/>
              <c:showSerName val="0"/>
              <c:showPercent val="1"/>
              <c:showBubbleSize val="1"/>
            </c:dLbl>
            <c:spPr>
              <a:solidFill>
                <a:sysClr val="window" lastClr="FFFFFF">
                  <a:alpha val="90000"/>
                </a:sysClr>
              </a:solidFill>
              <a:ln w="12700" cap="flat" cmpd="sng" algn="ctr">
                <a:solidFill>
                  <a:srgbClr val="4472C4"/>
                </a:solidFill>
                <a:round/>
              </a:ln>
              <a:effectLst>
                <a:outerShdw blurRad="50800" dist="38100" dir="2700000" rotWithShape="0">
                  <a:srgbClr val="4472C4">
                    <a:lumMod val="75000"/>
                    <a:alpha val="40000"/>
                  </a:srgbClr>
                </a:outerShdw>
              </a:effectLst>
            </c:spPr>
            <c:dLblPos val="inEnd"/>
            <c:showLegendKey val="0"/>
            <c:showVal val="0"/>
            <c:showCatName val="1"/>
            <c:showSerName val="0"/>
            <c:showPercent val="1"/>
            <c:showBubbleSize val="1"/>
            <c:separator>
</c:separator>
            <c:showLeaderLines val="0"/>
          </c:dLbls>
          <c:cat>
            <c:strRef>
              <c:f>categories</c:f>
              <c:strCache>
                <c:ptCount val="2"/>
                <c:pt idx="0">
                  <c:v>Водопостачання </c:v>
                </c:pt>
                <c:pt idx="1">
                  <c:v>Водовідведення </c:v>
                </c:pt>
              </c:strCache>
            </c:strRef>
          </c:cat>
          <c:val>
            <c:numRef>
              <c:f>0</c:f>
              <c:numCache>
                <c:formatCode>General</c:formatCode>
                <c:ptCount val="2"/>
                <c:pt idx="0">
                  <c:v>1185.7</c:v>
                </c:pt>
                <c:pt idx="1">
                  <c:v>216.9</c:v>
                </c:pt>
              </c:numCache>
            </c:numRef>
          </c:val>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Бюджет місцевого самоврядування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0</c:f>
              <c:numCache>
                <c:formatCode>General</c:formatCode>
                <c:ptCount val="7"/>
                <c:pt idx="0">
                  <c:v>57.9</c:v>
                </c:pt>
                <c:pt idx="1">
                  <c:v>15</c:v>
                </c:pt>
                <c:pt idx="2">
                  <c:v>96</c:v>
                </c:pt>
                <c:pt idx="3">
                  <c:v>44.2</c:v>
                </c:pt>
                <c:pt idx="6">
                  <c:v>219</c:v>
                </c:pt>
              </c:numCache>
            </c:numRef>
          </c:val>
        </c:ser>
        <c:ser>
          <c:idx val="1"/>
          <c:order val="1"/>
          <c:tx>
            <c:strRef>
              <c:f>label 1</c:f>
              <c:strCache>
                <c:ptCount val="1"/>
                <c:pt idx="0">
                  <c:v>З інших бюджетів (державний, обласний бюджети)</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7"/>
                <c:pt idx="0">
                  <c:v>2017</c:v>
                </c:pt>
                <c:pt idx="1">
                  <c:v>2018</c:v>
                </c:pt>
                <c:pt idx="2">
                  <c:v>2019</c:v>
                </c:pt>
                <c:pt idx="3">
                  <c:v>2020</c:v>
                </c:pt>
                <c:pt idx="4">
                  <c:v>2021</c:v>
                </c:pt>
                <c:pt idx="5">
                  <c:v>2022</c:v>
                </c:pt>
                <c:pt idx="6">
                  <c:v>2023</c:v>
                </c:pt>
              </c:strCache>
            </c:strRef>
          </c:cat>
          <c:val>
            <c:numRef>
              <c:f>1</c:f>
              <c:numCache>
                <c:formatCode>General</c:formatCode>
                <c:ptCount val="7"/>
                <c:pt idx="0">
                  <c:v>1102.4000000000001</c:v>
                </c:pt>
                <c:pt idx="2">
                  <c:v>2824</c:v>
                </c:pt>
              </c:numCache>
            </c:numRef>
          </c:val>
        </c:ser>
        <c:dLbls>
          <c:showLegendKey val="0"/>
          <c:showVal val="0"/>
          <c:showCatName val="0"/>
          <c:showSerName val="0"/>
          <c:showPercent val="0"/>
          <c:showBubbleSize val="0"/>
        </c:dLbls>
        <c:axId val="230487936"/>
        <c:axId val="230367232"/>
      </c:areaChart>
      <c:catAx>
        <c:axId val="23048793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30367232"/>
        <c:crosses val="autoZero"/>
        <c:auto val="1"/>
        <c:lblAlgn val="ctr"/>
        <c:lblOffset val="100"/>
        <c:noMultiLvlLbl val="0"/>
      </c:catAx>
      <c:valAx>
        <c:axId val="2303672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30487936"/>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label 0</c:f>
              <c:strCache>
                <c:ptCount val="1"/>
                <c:pt idx="0">
                  <c:v>Серія1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c:spPr>
          </c:dPt>
          <c:dLbls>
            <c:dLbl>
              <c:idx val="0"/>
              <c:spPr>
                <a:solidFill>
                  <a:schemeClr val="lt1">
                    <a:alpha val="90000"/>
                  </a:schemeClr>
                </a:solidFill>
                <a:ln w="12700" cap="flat" cmpd="sng" algn="ctr">
                  <a:solidFill>
                    <a:schemeClr val="accent1"/>
                  </a:solidFill>
                  <a:round/>
                </a:ln>
                <a:effectLst>
                  <a:outerShdw blurRad="50800" dist="38100" dir="2700000"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1"/>
                      </a:solidFill>
                      <a:latin typeface="+mn-lt"/>
                      <a:ea typeface="+mn-ea"/>
                      <a:cs typeface="+mn-cs"/>
                    </a:defRPr>
                  </a:pPr>
                  <a:endParaRPr lang="ru-RU"/>
                </a:p>
              </c:txPr>
              <c:dLblPos val="inEnd"/>
              <c:showLegendKey val="0"/>
              <c:showVal val="0"/>
              <c:showCatName val="1"/>
              <c:showSerName val="0"/>
              <c:showPercent val="1"/>
              <c:showBubbleSize val="1"/>
            </c:dLbl>
            <c:dLbl>
              <c:idx val="1"/>
              <c:spPr>
                <a:solidFill>
                  <a:schemeClr val="lt1">
                    <a:alpha val="90000"/>
                  </a:schemeClr>
                </a:solidFill>
                <a:ln w="12700" cap="flat" cmpd="sng" algn="ctr">
                  <a:solidFill>
                    <a:schemeClr val="accent2"/>
                  </a:solidFill>
                  <a:round/>
                </a:ln>
                <a:effectLst>
                  <a:outerShdw blurRad="50800" dist="38100" dir="2700000"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2"/>
                      </a:solidFill>
                      <a:latin typeface="+mn-lt"/>
                      <a:ea typeface="+mn-ea"/>
                      <a:cs typeface="+mn-cs"/>
                    </a:defRPr>
                  </a:pPr>
                  <a:endParaRPr lang="ru-RU"/>
                </a:p>
              </c:txPr>
              <c:dLblPos val="inEnd"/>
              <c:showLegendKey val="0"/>
              <c:showVal val="0"/>
              <c:showCatName val="1"/>
              <c:showSerName val="0"/>
              <c:showPercent val="1"/>
              <c:showBubbleSize val="1"/>
            </c:dLbl>
            <c:spPr>
              <a:solidFill>
                <a:sysClr val="window" lastClr="FFFFFF">
                  <a:alpha val="90000"/>
                </a:sysClr>
              </a:solidFill>
              <a:ln w="12700" cap="flat" cmpd="sng" algn="ctr">
                <a:solidFill>
                  <a:srgbClr val="4472C4"/>
                </a:solidFill>
                <a:round/>
              </a:ln>
              <a:effectLst>
                <a:outerShdw blurRad="50800" dist="38100" dir="2700000" rotWithShape="0">
                  <a:srgbClr val="4472C4">
                    <a:lumMod val="75000"/>
                    <a:alpha val="40000"/>
                  </a:srgbClr>
                </a:outerShdw>
              </a:effectLst>
            </c:spPr>
            <c:dLblPos val="inEnd"/>
            <c:showLegendKey val="0"/>
            <c:showVal val="0"/>
            <c:showCatName val="1"/>
            <c:showSerName val="0"/>
            <c:showPercent val="1"/>
            <c:showBubbleSize val="1"/>
            <c:separator>
</c:separator>
            <c:showLeaderLines val="0"/>
          </c:dLbls>
          <c:cat>
            <c:strRef>
              <c:f>categories</c:f>
              <c:strCache>
                <c:ptCount val="2"/>
                <c:pt idx="0">
                  <c:v>Бюджет місцевого самоврядування </c:v>
                </c:pt>
                <c:pt idx="1">
                  <c:v>З інших бюджетів (державний, обласний бюджети)</c:v>
                </c:pt>
              </c:strCache>
            </c:strRef>
          </c:cat>
          <c:val>
            <c:numRef>
              <c:f>0</c:f>
              <c:numCache>
                <c:formatCode>General</c:formatCode>
                <c:ptCount val="2"/>
                <c:pt idx="0">
                  <c:v>432.1</c:v>
                </c:pt>
                <c:pt idx="1">
                  <c:v>3926.4</c:v>
                </c:pt>
              </c:numCache>
            </c:numRef>
          </c:val>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Бюджет місцевого самоврядування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243.07599999999999</c:v>
                </c:pt>
                <c:pt idx="1">
                  <c:v>1260.5709999999999</c:v>
                </c:pt>
                <c:pt idx="2">
                  <c:v>1300.8219999999999</c:v>
                </c:pt>
                <c:pt idx="3">
                  <c:v>2650.0819999999999</c:v>
                </c:pt>
                <c:pt idx="4">
                  <c:v>399.24</c:v>
                </c:pt>
                <c:pt idx="5">
                  <c:v>0</c:v>
                </c:pt>
              </c:numCache>
            </c:numRef>
          </c:val>
        </c:ser>
        <c:dLbls>
          <c:showLegendKey val="0"/>
          <c:showVal val="0"/>
          <c:showCatName val="0"/>
          <c:showSerName val="0"/>
          <c:showPercent val="0"/>
          <c:showBubbleSize val="0"/>
        </c:dLbls>
        <c:axId val="230407552"/>
        <c:axId val="230508032"/>
      </c:areaChart>
      <c:catAx>
        <c:axId val="23040755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30508032"/>
        <c:crosses val="autoZero"/>
        <c:auto val="1"/>
        <c:lblAlgn val="ctr"/>
        <c:lblOffset val="100"/>
        <c:noMultiLvlLbl val="0"/>
      </c:catAx>
      <c:valAx>
        <c:axId val="2305080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3040755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a:solidFill>
                  <a:schemeClr val="tx2"/>
                </a:solidFill>
                <a:latin typeface="+mn-lt"/>
                <a:ea typeface="+mn-ea"/>
                <a:cs typeface="+mn-cs"/>
              </a:defRPr>
            </a:pPr>
            <a:r>
              <a:rPr lang="uk-UA"/>
              <a:t>Питоме фактичне енергоспоживання на опалення житлових будівель</a:t>
            </a:r>
            <a:endParaRPr/>
          </a:p>
        </c:rich>
      </c:tx>
      <c:overlay val="0"/>
      <c:spPr>
        <a:noFill/>
        <a:ln>
          <a:noFill/>
        </a:ln>
        <a:effectLst/>
      </c:spPr>
    </c:title>
    <c:autoTitleDeleted val="0"/>
    <c:plotArea>
      <c:layout/>
      <c:lineChart>
        <c:grouping val="standard"/>
        <c:varyColors val="0"/>
        <c:ser>
          <c:idx val="0"/>
          <c:order val="0"/>
          <c:tx>
            <c:strRef>
              <c:f>label 0</c:f>
              <c:strCache>
                <c:ptCount val="1"/>
                <c:pt idx="0">
                  <c:v>Фактичне питоме енергоспоживання, кВтгод/м²</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34"/>
                <c:pt idx="0">
                  <c:v>вул.Матросова, 4</c:v>
                </c:pt>
                <c:pt idx="1">
                  <c:v>вул. М.Заболотного 1</c:v>
                </c:pt>
                <c:pt idx="2">
                  <c:v>вул.Заводська, 1А</c:v>
                </c:pt>
                <c:pt idx="3">
                  <c:v>вул.Заболотного, 2</c:v>
                </c:pt>
                <c:pt idx="4">
                  <c:v>вул.Цукрозаводська, 5</c:v>
                </c:pt>
                <c:pt idx="5">
                  <c:v>вул Вокзальна ,167</c:v>
                </c:pt>
                <c:pt idx="6">
                  <c:v>вул.Вокзальна,3</c:v>
                </c:pt>
                <c:pt idx="7">
                  <c:v>вул.Вокзальна,5</c:v>
                </c:pt>
                <c:pt idx="8">
                  <c:v>вул.Вокзальна, 7</c:v>
                </c:pt>
                <c:pt idx="9">
                  <c:v>вул.Ніжинський шлях, 5</c:v>
                </c:pt>
                <c:pt idx="10">
                  <c:v>вул.Ніжинський шлях, 38</c:v>
                </c:pt>
                <c:pt idx="11">
                  <c:v>вул.Ніжинський шлях, 32 </c:v>
                </c:pt>
                <c:pt idx="12">
                  <c:v>вул.Ніжинський шлях, 6А</c:v>
                </c:pt>
                <c:pt idx="13">
                  <c:v>вул.Ніжинський шлях, 30</c:v>
                </c:pt>
                <c:pt idx="14">
                  <c:v>вул.Ніжинський шлях, 10</c:v>
                </c:pt>
                <c:pt idx="15">
                  <c:v>вул.Ніжинський шлях, 8</c:v>
                </c:pt>
                <c:pt idx="16">
                  <c:v>вул.Ніжинський шлях, 6А</c:v>
                </c:pt>
                <c:pt idx="17">
                  <c:v>вул.Малоносівська, 1</c:v>
                </c:pt>
                <c:pt idx="18">
                  <c:v>вул.Малоносівська, 2</c:v>
                </c:pt>
                <c:pt idx="19">
                  <c:v>с.Дослідне вул.Миру, 5</c:v>
                </c:pt>
                <c:pt idx="20">
                  <c:v>с.Дослідне вул.Ватутіна, 10</c:v>
                </c:pt>
                <c:pt idx="21">
                  <c:v>с.Дослідне вул.Миру, 10</c:v>
                </c:pt>
                <c:pt idx="22">
                  <c:v>с.Дослідне вул.Миру, 13</c:v>
                </c:pt>
                <c:pt idx="23">
                  <c:v>с.Дослідне вул.Дружби, 2</c:v>
                </c:pt>
                <c:pt idx="24">
                  <c:v>с ВолодьковаДівиця вул.Центральна, 90</c:v>
                </c:pt>
                <c:pt idx="25">
                  <c:v>вул.Вокзальна, 10є</c:v>
                </c:pt>
                <c:pt idx="26">
                  <c:v>вул.Вокзальна, 10А</c:v>
                </c:pt>
                <c:pt idx="27">
                  <c:v>вул.Вокзальна, 10Б</c:v>
                </c:pt>
                <c:pt idx="28">
                  <c:v>вул.Вокзальна, 10В</c:v>
                </c:pt>
                <c:pt idx="29">
                  <c:v>вул.Вокзальна, 10в</c:v>
                </c:pt>
                <c:pt idx="30">
                  <c:v>вул.Центральна, 43</c:v>
                </c:pt>
                <c:pt idx="31">
                  <c:v>вул.Центральна, 41</c:v>
                </c:pt>
                <c:pt idx="32">
                  <c:v>вул.Центральна, 20А</c:v>
                </c:pt>
                <c:pt idx="33">
                  <c:v>вул. Центральна, 43А</c:v>
                </c:pt>
              </c:strCache>
            </c:strRef>
          </c:cat>
          <c:val>
            <c:numRef>
              <c:f>0</c:f>
              <c:numCache>
                <c:formatCode>General</c:formatCode>
                <c:ptCount val="34"/>
                <c:pt idx="0">
                  <c:v>81.934208662489795</c:v>
                </c:pt>
                <c:pt idx="1">
                  <c:v>241.462742642455</c:v>
                </c:pt>
                <c:pt idx="2">
                  <c:v>283.932627703636</c:v>
                </c:pt>
                <c:pt idx="3">
                  <c:v>430.45506976744201</c:v>
                </c:pt>
                <c:pt idx="4">
                  <c:v>192.80799999999999</c:v>
                </c:pt>
                <c:pt idx="5">
                  <c:v>151.88376367614899</c:v>
                </c:pt>
                <c:pt idx="6">
                  <c:v>164.910620099786</c:v>
                </c:pt>
                <c:pt idx="7">
                  <c:v>154.24639999999999</c:v>
                </c:pt>
                <c:pt idx="8">
                  <c:v>154.24639999999999</c:v>
                </c:pt>
                <c:pt idx="9">
                  <c:v>242.907716535433</c:v>
                </c:pt>
                <c:pt idx="10">
                  <c:v>265.56051649928298</c:v>
                </c:pt>
                <c:pt idx="11">
                  <c:v>160.67333333333301</c:v>
                </c:pt>
                <c:pt idx="12">
                  <c:v>243.546947368421</c:v>
                </c:pt>
                <c:pt idx="13">
                  <c:v>243.546947368421</c:v>
                </c:pt>
                <c:pt idx="14">
                  <c:v>183.62666666666701</c:v>
                </c:pt>
                <c:pt idx="15">
                  <c:v>258.51351955307302</c:v>
                </c:pt>
                <c:pt idx="16">
                  <c:v>243.546947368421</c:v>
                </c:pt>
                <c:pt idx="17">
                  <c:v>231.36959999999999</c:v>
                </c:pt>
                <c:pt idx="18">
                  <c:v>231.36959999999999</c:v>
                </c:pt>
                <c:pt idx="19">
                  <c:v>252.4032</c:v>
                </c:pt>
                <c:pt idx="20">
                  <c:v>247.89599999999999</c:v>
                </c:pt>
                <c:pt idx="21">
                  <c:v>257.077333333333</c:v>
                </c:pt>
                <c:pt idx="22">
                  <c:v>301.78643478260898</c:v>
                </c:pt>
                <c:pt idx="23">
                  <c:v>199.456551724138</c:v>
                </c:pt>
                <c:pt idx="24">
                  <c:v>192.80799999999999</c:v>
                </c:pt>
                <c:pt idx="25">
                  <c:v>94.016853333333401</c:v>
                </c:pt>
                <c:pt idx="26">
                  <c:v>201.480944087442</c:v>
                </c:pt>
                <c:pt idx="27">
                  <c:v>253.973216245884</c:v>
                </c:pt>
                <c:pt idx="28">
                  <c:v>160.67333333333301</c:v>
                </c:pt>
                <c:pt idx="29">
                  <c:v>177.61228249744099</c:v>
                </c:pt>
                <c:pt idx="30">
                  <c:v>201.33101287852401</c:v>
                </c:pt>
                <c:pt idx="31">
                  <c:v>243.889248067463</c:v>
                </c:pt>
                <c:pt idx="32">
                  <c:v>95.851257746992303</c:v>
                </c:pt>
                <c:pt idx="33">
                  <c:v>201.33101287852401</c:v>
                </c:pt>
              </c:numCache>
            </c:numRef>
          </c:val>
          <c:smooth val="0"/>
        </c:ser>
        <c:ser>
          <c:idx val="1"/>
          <c:order val="1"/>
          <c:tx>
            <c:strRef>
              <c:f>label 1</c:f>
              <c:strCache>
                <c:ptCount val="1"/>
                <c:pt idx="0">
                  <c:v>Мінімальо допустиме питоме енергоспоживання, кВтгод/м²</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34"/>
                <c:pt idx="0">
                  <c:v>вул.Матросова, 4</c:v>
                </c:pt>
                <c:pt idx="1">
                  <c:v>вул. М.Заболотного 1</c:v>
                </c:pt>
                <c:pt idx="2">
                  <c:v>вул.Заводська, 1А</c:v>
                </c:pt>
                <c:pt idx="3">
                  <c:v>вул.Заболотного, 2</c:v>
                </c:pt>
                <c:pt idx="4">
                  <c:v>вул.Цукрозаводська, 5</c:v>
                </c:pt>
                <c:pt idx="5">
                  <c:v>вул Вокзальна ,167</c:v>
                </c:pt>
                <c:pt idx="6">
                  <c:v>вул.Вокзальна,3</c:v>
                </c:pt>
                <c:pt idx="7">
                  <c:v>вул.Вокзальна,5</c:v>
                </c:pt>
                <c:pt idx="8">
                  <c:v>вул.Вокзальна, 7</c:v>
                </c:pt>
                <c:pt idx="9">
                  <c:v>вул.Ніжинський шлях, 5</c:v>
                </c:pt>
                <c:pt idx="10">
                  <c:v>вул.Ніжинський шлях, 38</c:v>
                </c:pt>
                <c:pt idx="11">
                  <c:v>вул.Ніжинський шлях, 32 </c:v>
                </c:pt>
                <c:pt idx="12">
                  <c:v>вул.Ніжинський шлях, 6А</c:v>
                </c:pt>
                <c:pt idx="13">
                  <c:v>вул.Ніжинський шлях, 30</c:v>
                </c:pt>
                <c:pt idx="14">
                  <c:v>вул.Ніжинський шлях, 10</c:v>
                </c:pt>
                <c:pt idx="15">
                  <c:v>вул.Ніжинський шлях, 8</c:v>
                </c:pt>
                <c:pt idx="16">
                  <c:v>вул.Ніжинський шлях, 6А</c:v>
                </c:pt>
                <c:pt idx="17">
                  <c:v>вул.Малоносівська, 1</c:v>
                </c:pt>
                <c:pt idx="18">
                  <c:v>вул.Малоносівська, 2</c:v>
                </c:pt>
                <c:pt idx="19">
                  <c:v>с.Дослідне вул.Миру, 5</c:v>
                </c:pt>
                <c:pt idx="20">
                  <c:v>с.Дослідне вул.Ватутіна, 10</c:v>
                </c:pt>
                <c:pt idx="21">
                  <c:v>с.Дослідне вул.Миру, 10</c:v>
                </c:pt>
                <c:pt idx="22">
                  <c:v>с.Дослідне вул.Миру, 13</c:v>
                </c:pt>
                <c:pt idx="23">
                  <c:v>с.Дослідне вул.Дружби, 2</c:v>
                </c:pt>
                <c:pt idx="24">
                  <c:v>с ВолодьковаДівиця вул.Центральна, 90</c:v>
                </c:pt>
                <c:pt idx="25">
                  <c:v>вул.Вокзальна, 10є</c:v>
                </c:pt>
                <c:pt idx="26">
                  <c:v>вул.Вокзальна, 10А</c:v>
                </c:pt>
                <c:pt idx="27">
                  <c:v>вул.Вокзальна, 10Б</c:v>
                </c:pt>
                <c:pt idx="28">
                  <c:v>вул.Вокзальна, 10В</c:v>
                </c:pt>
                <c:pt idx="29">
                  <c:v>вул.Вокзальна, 10в</c:v>
                </c:pt>
                <c:pt idx="30">
                  <c:v>вул.Центральна, 43</c:v>
                </c:pt>
                <c:pt idx="31">
                  <c:v>вул.Центральна, 41</c:v>
                </c:pt>
                <c:pt idx="32">
                  <c:v>вул.Центральна, 20А</c:v>
                </c:pt>
                <c:pt idx="33">
                  <c:v>вул. Центральна, 43А</c:v>
                </c:pt>
              </c:strCache>
            </c:strRef>
          </c:cat>
          <c:val>
            <c:numRef>
              <c:f>1</c:f>
              <c:numCache>
                <c:formatCode>General</c:formatCode>
                <c:ptCount val="34"/>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pt idx="25">
                  <c:v>85</c:v>
                </c:pt>
                <c:pt idx="26">
                  <c:v>85</c:v>
                </c:pt>
                <c:pt idx="27">
                  <c:v>85</c:v>
                </c:pt>
                <c:pt idx="28">
                  <c:v>85</c:v>
                </c:pt>
                <c:pt idx="29">
                  <c:v>85</c:v>
                </c:pt>
                <c:pt idx="30">
                  <c:v>85</c:v>
                </c:pt>
                <c:pt idx="31">
                  <c:v>85</c:v>
                </c:pt>
                <c:pt idx="32">
                  <c:v>85</c:v>
                </c:pt>
                <c:pt idx="33">
                  <c:v>85</c:v>
                </c:pt>
              </c:numCache>
            </c:numRef>
          </c:val>
          <c:smooth val="0"/>
        </c:ser>
        <c:dLbls>
          <c:showLegendKey val="0"/>
          <c:showVal val="0"/>
          <c:showCatName val="0"/>
          <c:showSerName val="0"/>
          <c:showPercent val="0"/>
          <c:showBubbleSize val="0"/>
        </c:dLbls>
        <c:hiLowLines>
          <c:spPr>
            <a:ln w="9525">
              <a:solidFill>
                <a:schemeClr val="tx2">
                  <a:lumMod val="60000"/>
                  <a:lumOff val="40000"/>
                </a:schemeClr>
              </a:solidFill>
              <a:prstDash val="dash"/>
            </a:ln>
            <a:effectLst/>
          </c:spPr>
        </c:hiLowLines>
        <c:marker val="1"/>
        <c:smooth val="0"/>
        <c:axId val="229972608"/>
        <c:axId val="229978496"/>
      </c:lineChart>
      <c:catAx>
        <c:axId val="229972608"/>
        <c:scaling>
          <c:orientation val="minMax"/>
        </c:scaling>
        <c:delete val="0"/>
        <c:axPos val="b"/>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29978496"/>
        <c:crosses val="autoZero"/>
        <c:auto val="1"/>
        <c:lblAlgn val="ctr"/>
        <c:lblOffset val="100"/>
        <c:noMultiLvlLbl val="0"/>
      </c:catAx>
      <c:valAx>
        <c:axId val="22997849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2997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tx2"/>
              </a:solidFill>
              <a:latin typeface="+mn-lt"/>
              <a:ea typeface="+mn-ea"/>
              <a:cs typeface="+mn-cs"/>
            </a:defRPr>
          </a:pPr>
          <a:endParaRPr lang="ru-RU"/>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ru-RU"/>
    </a:p>
  </c:txPr>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a:solidFill>
                  <a:schemeClr val="tx2"/>
                </a:solidFill>
                <a:latin typeface="+mn-lt"/>
                <a:ea typeface="+mn-ea"/>
                <a:cs typeface="+mn-cs"/>
              </a:defRPr>
            </a:pPr>
            <a:r>
              <a:rPr lang="uk-UA"/>
              <a:t>Питоме фактичне енергоспоживання на опалення закладів дошкільної освіти, кВтгод/м³</a:t>
            </a:r>
            <a:endParaRPr/>
          </a:p>
        </c:rich>
      </c:tx>
      <c:overlay val="0"/>
      <c:spPr>
        <a:noFill/>
        <a:ln>
          <a:noFill/>
        </a:ln>
        <a:effectLst/>
      </c:spPr>
    </c:title>
    <c:autoTitleDeleted val="0"/>
    <c:plotArea>
      <c:layout/>
      <c:lineChart>
        <c:grouping val="standard"/>
        <c:varyColors val="0"/>
        <c:ser>
          <c:idx val="0"/>
          <c:order val="0"/>
          <c:tx>
            <c:strRef>
              <c:f>label 0</c:f>
              <c:strCache>
                <c:ptCount val="1"/>
                <c:pt idx="0">
                  <c:v>Фактичне питоме енергоспоживання, кВтгод/м³</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3"/>
                <c:pt idx="0">
                  <c:v>Носівський ДНЗ №1 «Барвінок»
м.Носівка, вул.Воскресенська, 11
</c:v>
                </c:pt>
                <c:pt idx="1">
                  <c:v>Носівський ДНЗ «Ромашка»
м.Носівка, вул.Цукрозаводська,8
</c:v>
                </c:pt>
                <c:pt idx="2">
                  <c:v>Володьководівицький ДНЗ «Дзвіночок»
с.Володькова Дівиця, вул. Освіти 15
</c:v>
                </c:pt>
              </c:strCache>
            </c:strRef>
          </c:cat>
          <c:val>
            <c:numRef>
              <c:f>0</c:f>
              <c:numCache>
                <c:formatCode>General</c:formatCode>
                <c:ptCount val="3"/>
                <c:pt idx="0">
                  <c:v>215.95856532435599</c:v>
                </c:pt>
                <c:pt idx="1">
                  <c:v>60.836468571428597</c:v>
                </c:pt>
                <c:pt idx="2">
                  <c:v>242.027827879412</c:v>
                </c:pt>
              </c:numCache>
            </c:numRef>
          </c:val>
          <c:smooth val="0"/>
        </c:ser>
        <c:ser>
          <c:idx val="1"/>
          <c:order val="1"/>
          <c:tx>
            <c:strRef>
              <c:f>label 1</c:f>
              <c:strCache>
                <c:ptCount val="1"/>
                <c:pt idx="0">
                  <c:v>Мінімальо допустиме питоме енергоспоживання, кВтгод/м³</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3"/>
                <c:pt idx="0">
                  <c:v>Носівський ДНЗ №1 «Барвінок»
м.Носівка, вул.Воскресенська, 11
</c:v>
                </c:pt>
                <c:pt idx="1">
                  <c:v>Носівський ДНЗ «Ромашка»
м.Носівка, вул.Цукрозаводська,8
</c:v>
                </c:pt>
                <c:pt idx="2">
                  <c:v>Володьководівицький ДНЗ «Дзвіночок»
с.Володькова Дівиця, вул. Освіти 15
</c:v>
                </c:pt>
              </c:strCache>
            </c:strRef>
          </c:cat>
          <c:val>
            <c:numRef>
              <c:f>1</c:f>
              <c:numCache>
                <c:formatCode>General</c:formatCode>
                <c:ptCount val="3"/>
                <c:pt idx="0">
                  <c:v>32</c:v>
                </c:pt>
                <c:pt idx="1">
                  <c:v>32</c:v>
                </c:pt>
                <c:pt idx="2">
                  <c:v>32</c:v>
                </c:pt>
              </c:numCache>
            </c:numRef>
          </c:val>
          <c:smooth val="0"/>
        </c:ser>
        <c:dLbls>
          <c:showLegendKey val="0"/>
          <c:showVal val="0"/>
          <c:showCatName val="0"/>
          <c:showSerName val="0"/>
          <c:showPercent val="0"/>
          <c:showBubbleSize val="0"/>
        </c:dLbls>
        <c:hiLowLines>
          <c:spPr>
            <a:ln w="9525">
              <a:solidFill>
                <a:schemeClr val="tx2">
                  <a:lumMod val="60000"/>
                  <a:lumOff val="40000"/>
                </a:schemeClr>
              </a:solidFill>
              <a:prstDash val="dash"/>
            </a:ln>
            <a:effectLst/>
          </c:spPr>
        </c:hiLowLines>
        <c:marker val="1"/>
        <c:smooth val="0"/>
        <c:axId val="230004608"/>
        <c:axId val="230006144"/>
      </c:lineChart>
      <c:catAx>
        <c:axId val="230004608"/>
        <c:scaling>
          <c:orientation val="minMax"/>
        </c:scaling>
        <c:delete val="0"/>
        <c:axPos val="b"/>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b" anchorCtr="0"/>
          <a:lstStyle/>
          <a:p>
            <a:pPr>
              <a:defRPr sz="900" b="0" i="0" u="none" strike="noStrike">
                <a:solidFill>
                  <a:schemeClr val="tx2"/>
                </a:solidFill>
                <a:latin typeface="+mn-lt"/>
                <a:ea typeface="+mn-ea"/>
                <a:cs typeface="+mn-cs"/>
              </a:defRPr>
            </a:pPr>
            <a:endParaRPr lang="ru-RU"/>
          </a:p>
        </c:txPr>
        <c:crossAx val="230006144"/>
        <c:crosses val="autoZero"/>
        <c:auto val="1"/>
        <c:lblAlgn val="ctr"/>
        <c:lblOffset val="100"/>
        <c:noMultiLvlLbl val="0"/>
      </c:catAx>
      <c:valAx>
        <c:axId val="230006144"/>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3000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tx2"/>
              </a:solidFill>
              <a:latin typeface="+mn-lt"/>
              <a:ea typeface="+mn-ea"/>
              <a:cs typeface="+mn-cs"/>
            </a:defRPr>
          </a:pPr>
          <a:endParaRPr lang="ru-RU"/>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ru-RU"/>
    </a:p>
  </c:txPr>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a:solidFill>
                  <a:schemeClr val="tx2"/>
                </a:solidFill>
                <a:latin typeface="+mn-lt"/>
                <a:ea typeface="+mn-ea"/>
                <a:cs typeface="+mn-cs"/>
              </a:defRPr>
            </a:pPr>
            <a:r>
              <a:rPr lang="uk-UA"/>
              <a:t>Питоме фактичне енергоспоживання на опалення закладів освіти, кВтгод/м³</a:t>
            </a:r>
            <a:endParaRPr/>
          </a:p>
        </c:rich>
      </c:tx>
      <c:overlay val="0"/>
      <c:spPr>
        <a:noFill/>
        <a:ln>
          <a:noFill/>
        </a:ln>
        <a:effectLst/>
      </c:spPr>
    </c:title>
    <c:autoTitleDeleted val="0"/>
    <c:plotArea>
      <c:layout/>
      <c:lineChart>
        <c:grouping val="standard"/>
        <c:varyColors val="0"/>
        <c:ser>
          <c:idx val="0"/>
          <c:order val="0"/>
          <c:tx>
            <c:strRef>
              <c:f>label 0</c:f>
              <c:strCache>
                <c:ptCount val="1"/>
                <c:pt idx="0">
                  <c:v>Фактичне питоме енергоспоживання, кВтгод/м³</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9"/>
                <c:pt idx="0">
                  <c:v>Носівський ліцей №1
17100, м. Hociвкa, вул. Центральна, 25
</c:v>
                </c:pt>
                <c:pt idx="1">
                  <c:v>Носівська початкова школа
17100, м. Hociвкa, вул. Центральна, 25
</c:v>
                </c:pt>
                <c:pt idx="2">
                  <c:v>Носівська  гімназія №2
17101, м. Носівка, вул. Привітна, 1а
</c:v>
                </c:pt>
                <c:pt idx="3">
                  <c:v>Носівська гімназія № 3
17100, м. Hocівкa, вул. Козацька, 41
</c:v>
                </c:pt>
                <c:pt idx="4">
                  <c:v>Носівський ліцей  №5
17100, м. Hocівкa, вул. Вокзальна, 115
</c:v>
                </c:pt>
                <c:pt idx="5">
                  <c:v>Володьководівицький ліцей 
17130, с.Володькова Дівиця, вул. Центральна, 77
</c:v>
                </c:pt>
                <c:pt idx="6">
                  <c:v>Досліднянська гімназія
17131, с. Дослідне, вул. Миру, 6
</c:v>
                </c:pt>
                <c:pt idx="7">
                  <c:v>Сулацька  гімназія
17130, с. Сулак, вул. Миколаївська,71
</c:v>
                </c:pt>
                <c:pt idx="8">
                  <c:v>Держанівська гімназія
с.Держанівка, вул Лесі Українки, 15
</c:v>
                </c:pt>
              </c:strCache>
            </c:strRef>
          </c:cat>
          <c:val>
            <c:numRef>
              <c:f>0</c:f>
              <c:numCache>
                <c:formatCode>General</c:formatCode>
                <c:ptCount val="9"/>
                <c:pt idx="0">
                  <c:v>88.966890211552396</c:v>
                </c:pt>
                <c:pt idx="1">
                  <c:v>68.222832593525595</c:v>
                </c:pt>
                <c:pt idx="2">
                  <c:v>60.098810335546403</c:v>
                </c:pt>
                <c:pt idx="3">
                  <c:v>49.857288776541999</c:v>
                </c:pt>
                <c:pt idx="4">
                  <c:v>67.182664551223894</c:v>
                </c:pt>
                <c:pt idx="5">
                  <c:v>126.07711204314</c:v>
                </c:pt>
                <c:pt idx="6">
                  <c:v>36.432836928786799</c:v>
                </c:pt>
                <c:pt idx="7">
                  <c:v>95.957214285714301</c:v>
                </c:pt>
                <c:pt idx="8">
                  <c:v>29.309304029303998</c:v>
                </c:pt>
              </c:numCache>
            </c:numRef>
          </c:val>
          <c:smooth val="0"/>
        </c:ser>
        <c:ser>
          <c:idx val="1"/>
          <c:order val="1"/>
          <c:tx>
            <c:strRef>
              <c:f>label 1</c:f>
              <c:strCache>
                <c:ptCount val="1"/>
                <c:pt idx="0">
                  <c:v>Мінімальо допустиме питоме енергоспоживання, кВтгод/м³</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9"/>
                <c:pt idx="0">
                  <c:v>Носівський ліцей №1
17100, м. Hociвкa, вул. Центральна, 25
</c:v>
                </c:pt>
                <c:pt idx="1">
                  <c:v>Носівська початкова школа
17100, м. Hociвкa, вул. Центральна, 25
</c:v>
                </c:pt>
                <c:pt idx="2">
                  <c:v>Носівська  гімназія №2
17101, м. Носівка, вул. Привітна, 1а
</c:v>
                </c:pt>
                <c:pt idx="3">
                  <c:v>Носівська гімназія № 3
17100, м. Hocівкa, вул. Козацька, 41
</c:v>
                </c:pt>
                <c:pt idx="4">
                  <c:v>Носівський ліцей  №5
17100, м. Hocівкa, вул. Вокзальна, 115
</c:v>
                </c:pt>
                <c:pt idx="5">
                  <c:v>Володьководівицький ліцей 
17130, с.Володькова Дівиця, вул. Центральна, 77
</c:v>
                </c:pt>
                <c:pt idx="6">
                  <c:v>Досліднянська гімназія
17131, с. Дослідне, вул. Миру, 6
</c:v>
                </c:pt>
                <c:pt idx="7">
                  <c:v>Сулацька  гімназія
17130, с. Сулак, вул. Миколаївська,71
</c:v>
                </c:pt>
                <c:pt idx="8">
                  <c:v>Держанівська гімназія
с.Держанівка, вул Лесі Українки, 15
</c:v>
                </c:pt>
              </c:strCache>
            </c:strRef>
          </c:cat>
          <c:val>
            <c:numRef>
              <c:f>1</c:f>
              <c:numCache>
                <c:formatCode>General</c:formatCode>
                <c:ptCount val="9"/>
                <c:pt idx="0">
                  <c:v>46</c:v>
                </c:pt>
                <c:pt idx="1">
                  <c:v>46</c:v>
                </c:pt>
                <c:pt idx="2">
                  <c:v>46</c:v>
                </c:pt>
                <c:pt idx="3">
                  <c:v>46</c:v>
                </c:pt>
                <c:pt idx="4">
                  <c:v>46</c:v>
                </c:pt>
                <c:pt idx="5">
                  <c:v>46</c:v>
                </c:pt>
                <c:pt idx="6">
                  <c:v>46</c:v>
                </c:pt>
                <c:pt idx="7">
                  <c:v>46</c:v>
                </c:pt>
                <c:pt idx="8">
                  <c:v>46</c:v>
                </c:pt>
              </c:numCache>
            </c:numRef>
          </c:val>
          <c:smooth val="0"/>
        </c:ser>
        <c:dLbls>
          <c:showLegendKey val="0"/>
          <c:showVal val="0"/>
          <c:showCatName val="0"/>
          <c:showSerName val="0"/>
          <c:showPercent val="0"/>
          <c:showBubbleSize val="0"/>
        </c:dLbls>
        <c:hiLowLines>
          <c:spPr>
            <a:ln w="9525">
              <a:solidFill>
                <a:schemeClr val="tx2">
                  <a:lumMod val="60000"/>
                  <a:lumOff val="40000"/>
                </a:schemeClr>
              </a:solidFill>
              <a:prstDash val="dash"/>
            </a:ln>
            <a:effectLst/>
          </c:spPr>
        </c:hiLowLines>
        <c:marker val="1"/>
        <c:smooth val="0"/>
        <c:axId val="230127104"/>
        <c:axId val="230128640"/>
      </c:lineChart>
      <c:catAx>
        <c:axId val="230127104"/>
        <c:scaling>
          <c:orientation val="minMax"/>
        </c:scaling>
        <c:delete val="0"/>
        <c:axPos val="b"/>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30128640"/>
        <c:crosses val="autoZero"/>
        <c:auto val="1"/>
        <c:lblAlgn val="ctr"/>
        <c:lblOffset val="100"/>
        <c:noMultiLvlLbl val="0"/>
      </c:catAx>
      <c:valAx>
        <c:axId val="230128640"/>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3012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tx2"/>
              </a:solidFill>
              <a:latin typeface="+mn-lt"/>
              <a:ea typeface="+mn-ea"/>
              <a:cs typeface="+mn-cs"/>
            </a:defRPr>
          </a:pPr>
          <a:endParaRPr lang="ru-RU"/>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ru-RU"/>
    </a:p>
  </c:txPr>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a:solidFill>
                  <a:schemeClr val="tx2"/>
                </a:solidFill>
                <a:latin typeface="+mn-lt"/>
                <a:ea typeface="+mn-ea"/>
                <a:cs typeface="+mn-cs"/>
              </a:defRPr>
            </a:pPr>
            <a:r>
              <a:rPr lang="uk-UA"/>
              <a:t>Питоме фактичне енергоспоживання на опалення закладів охорони здоров'я, кВтгод/м³</a:t>
            </a:r>
            <a:endParaRPr/>
          </a:p>
        </c:rich>
      </c:tx>
      <c:overlay val="0"/>
      <c:spPr>
        <a:noFill/>
        <a:ln>
          <a:noFill/>
        </a:ln>
        <a:effectLst/>
      </c:spPr>
    </c:title>
    <c:autoTitleDeleted val="0"/>
    <c:plotArea>
      <c:layout/>
      <c:lineChart>
        <c:grouping val="standard"/>
        <c:varyColors val="0"/>
        <c:ser>
          <c:idx val="0"/>
          <c:order val="0"/>
          <c:tx>
            <c:strRef>
              <c:f>label 0</c:f>
              <c:strCache>
                <c:ptCount val="1"/>
                <c:pt idx="0">
                  <c:v>Фактичне питоме енергоспоживання, кВтгод/м³</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13"/>
                <c:pt idx="0">
                  <c:v>поліклініка</c:v>
                </c:pt>
                <c:pt idx="1">
                  <c:v>стаціонар</c:v>
                </c:pt>
                <c:pt idx="2">
                  <c:v>харчоблок</c:v>
                </c:pt>
                <c:pt idx="3">
                  <c:v>адмін.будівля</c:v>
                </c:pt>
                <c:pt idx="4">
                  <c:v>гараж</c:v>
                </c:pt>
                <c:pt idx="5">
                  <c:v>котельня,пральня</c:v>
                </c:pt>
                <c:pt idx="6">
                  <c:v>Володьководівицька сільська лікарська амбулаторія. с.В.Дівиця, вул. Центральна, 74 б</c:v>
                </c:pt>
                <c:pt idx="7">
                  <c:v>Козарський фельдшерський пункт, с.Козари, вул. Привітна, 2</c:v>
                </c:pt>
                <c:pt idx="8">
                  <c:v>Адамівський фельдшерський пункт, с.Адамівка, вул.Шевченка, 83а</c:v>
                </c:pt>
                <c:pt idx="9">
                  <c:v>Держанівський фельдшерський пункт, с.Держанівка, вул. Лесі Українки, 9</c:v>
                </c:pt>
                <c:pt idx="10">
                  <c:v>Досліднянський фельдшерський пункт, с.Дослідна, вул.Дружби, 1</c:v>
                </c:pt>
                <c:pt idx="11">
                  <c:v>Сулацький фельдшерський пункт, с.Сулак, вул. Партизанська, 15</c:v>
                </c:pt>
                <c:pt idx="12">
                  <c:v>Яблунівський фельдшерський пункт, с.Яблунівка, вул.Садова, 12 г</c:v>
                </c:pt>
              </c:strCache>
            </c:strRef>
          </c:cat>
          <c:val>
            <c:numRef>
              <c:f>0</c:f>
              <c:numCache>
                <c:formatCode>General</c:formatCode>
                <c:ptCount val="13"/>
                <c:pt idx="0">
                  <c:v>49.322409638554198</c:v>
                </c:pt>
                <c:pt idx="1">
                  <c:v>53.258231442047901</c:v>
                </c:pt>
                <c:pt idx="2">
                  <c:v>7.5252941176470598</c:v>
                </c:pt>
                <c:pt idx="3">
                  <c:v>35.361486486486498</c:v>
                </c:pt>
                <c:pt idx="4">
                  <c:v>5.2387387387387401</c:v>
                </c:pt>
                <c:pt idx="5">
                  <c:v>4.8865546218487399</c:v>
                </c:pt>
                <c:pt idx="6">
                  <c:v>0</c:v>
                </c:pt>
                <c:pt idx="7">
                  <c:v>62.6</c:v>
                </c:pt>
                <c:pt idx="8">
                  <c:v>299.23265306122403</c:v>
                </c:pt>
                <c:pt idx="9">
                  <c:v>129.98581560283699</c:v>
                </c:pt>
                <c:pt idx="10">
                  <c:v>51.083086053412501</c:v>
                </c:pt>
                <c:pt idx="11">
                  <c:v>77.954716981132094</c:v>
                </c:pt>
                <c:pt idx="12">
                  <c:v>185.6</c:v>
                </c:pt>
              </c:numCache>
            </c:numRef>
          </c:val>
          <c:smooth val="0"/>
        </c:ser>
        <c:ser>
          <c:idx val="1"/>
          <c:order val="1"/>
          <c:tx>
            <c:strRef>
              <c:f>label 1</c:f>
              <c:strCache>
                <c:ptCount val="1"/>
                <c:pt idx="0">
                  <c:v>Мінімальо допустиме питоме енергоспоживання, кВтгод/м³</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13"/>
                <c:pt idx="0">
                  <c:v>поліклініка</c:v>
                </c:pt>
                <c:pt idx="1">
                  <c:v>стаціонар</c:v>
                </c:pt>
                <c:pt idx="2">
                  <c:v>харчоблок</c:v>
                </c:pt>
                <c:pt idx="3">
                  <c:v>адмін.будівля</c:v>
                </c:pt>
                <c:pt idx="4">
                  <c:v>гараж</c:v>
                </c:pt>
                <c:pt idx="5">
                  <c:v>котельня,пральня</c:v>
                </c:pt>
                <c:pt idx="6">
                  <c:v>Володьководівицька сільська лікарська амбулаторія. с.В.Дівиця, вул. Центральна, 74 б</c:v>
                </c:pt>
                <c:pt idx="7">
                  <c:v>Козарський фельдшерський пункт, с.Козари, вул. Привітна, 2</c:v>
                </c:pt>
                <c:pt idx="8">
                  <c:v>Адамівський фельдшерський пункт, с.Адамівка, вул.Шевченка, 83а</c:v>
                </c:pt>
                <c:pt idx="9">
                  <c:v>Держанівський фельдшерський пункт, с.Держанівка, вул. Лесі Українки, 9</c:v>
                </c:pt>
                <c:pt idx="10">
                  <c:v>Досліднянський фельдшерський пункт, с.Дослідна, вул.Дружби, 1</c:v>
                </c:pt>
                <c:pt idx="11">
                  <c:v>Сулацький фельдшерський пункт, с.Сулак, вул. Партизанська, 15</c:v>
                </c:pt>
                <c:pt idx="12">
                  <c:v>Яблунівський фельдшерський пункт, с.Яблунівка, вул.Садова, 12 г</c:v>
                </c:pt>
              </c:strCache>
            </c:strRef>
          </c:cat>
          <c:val>
            <c:numRef>
              <c:f>1</c:f>
              <c:numCache>
                <c:formatCode>General</c:formatCode>
                <c:ptCount val="13"/>
                <c:pt idx="0">
                  <c:v>30</c:v>
                </c:pt>
                <c:pt idx="1">
                  <c:v>30</c:v>
                </c:pt>
                <c:pt idx="2">
                  <c:v>30</c:v>
                </c:pt>
                <c:pt idx="3">
                  <c:v>30</c:v>
                </c:pt>
                <c:pt idx="4">
                  <c:v>30</c:v>
                </c:pt>
                <c:pt idx="5">
                  <c:v>30</c:v>
                </c:pt>
                <c:pt idx="6">
                  <c:v>30</c:v>
                </c:pt>
                <c:pt idx="7">
                  <c:v>30</c:v>
                </c:pt>
                <c:pt idx="8">
                  <c:v>30</c:v>
                </c:pt>
                <c:pt idx="9">
                  <c:v>30</c:v>
                </c:pt>
                <c:pt idx="10">
                  <c:v>30</c:v>
                </c:pt>
                <c:pt idx="11">
                  <c:v>30</c:v>
                </c:pt>
                <c:pt idx="12">
                  <c:v>30</c:v>
                </c:pt>
              </c:numCache>
            </c:numRef>
          </c:val>
          <c:smooth val="0"/>
        </c:ser>
        <c:dLbls>
          <c:showLegendKey val="0"/>
          <c:showVal val="0"/>
          <c:showCatName val="0"/>
          <c:showSerName val="0"/>
          <c:showPercent val="0"/>
          <c:showBubbleSize val="0"/>
        </c:dLbls>
        <c:hiLowLines>
          <c:spPr>
            <a:ln w="9525">
              <a:solidFill>
                <a:schemeClr val="tx2">
                  <a:lumMod val="60000"/>
                  <a:lumOff val="40000"/>
                </a:schemeClr>
              </a:solidFill>
              <a:prstDash val="dash"/>
            </a:ln>
            <a:effectLst/>
          </c:spPr>
        </c:hiLowLines>
        <c:marker val="1"/>
        <c:smooth val="0"/>
        <c:axId val="230167680"/>
        <c:axId val="230169216"/>
      </c:lineChart>
      <c:catAx>
        <c:axId val="230167680"/>
        <c:scaling>
          <c:orientation val="minMax"/>
        </c:scaling>
        <c:delete val="0"/>
        <c:axPos val="b"/>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30169216"/>
        <c:crosses val="autoZero"/>
        <c:auto val="1"/>
        <c:lblAlgn val="ctr"/>
        <c:lblOffset val="100"/>
        <c:noMultiLvlLbl val="0"/>
      </c:catAx>
      <c:valAx>
        <c:axId val="23016921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3016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tx2"/>
              </a:solidFill>
              <a:latin typeface="+mn-lt"/>
              <a:ea typeface="+mn-ea"/>
              <a:cs typeface="+mn-cs"/>
            </a:defRPr>
          </a:pPr>
          <a:endParaRPr lang="ru-RU"/>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ru-RU"/>
    </a:p>
  </c:txPr>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a:solidFill>
                  <a:schemeClr val="tx2"/>
                </a:solidFill>
                <a:latin typeface="+mn-lt"/>
                <a:ea typeface="+mn-ea"/>
                <a:cs typeface="+mn-cs"/>
              </a:defRPr>
            </a:pPr>
            <a:r>
              <a:rPr lang="uk-UA"/>
              <a:t>Питоме фактичне енергоспоживання на опалення інших громадських будівель, кВтгод/м³</a:t>
            </a:r>
            <a:endParaRPr/>
          </a:p>
        </c:rich>
      </c:tx>
      <c:overlay val="0"/>
      <c:spPr>
        <a:noFill/>
        <a:ln>
          <a:noFill/>
        </a:ln>
        <a:effectLst/>
      </c:spPr>
    </c:title>
    <c:autoTitleDeleted val="0"/>
    <c:plotArea>
      <c:layout/>
      <c:lineChart>
        <c:grouping val="standard"/>
        <c:varyColors val="0"/>
        <c:ser>
          <c:idx val="0"/>
          <c:order val="0"/>
          <c:tx>
            <c:strRef>
              <c:f>label 0</c:f>
              <c:strCache>
                <c:ptCount val="1"/>
                <c:pt idx="0">
                  <c:v>Фактичне питоме енергоспоживання, кВтгод/м³</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16"/>
                <c:pt idx="0">
                  <c:v>Носівський МБК</c:v>
                </c:pt>
                <c:pt idx="1">
                  <c:v>Публічна бібліотека</c:v>
                </c:pt>
                <c:pt idx="2">
                  <c:v>Козарський БК</c:v>
                </c:pt>
                <c:pt idx="3">
                  <c:v>Іржавецький БК</c:v>
                </c:pt>
                <c:pt idx="4">
                  <c:v>Адаміський клуб</c:v>
                </c:pt>
                <c:pt idx="5">
                  <c:v>Яснозірківський клуб</c:v>
                </c:pt>
                <c:pt idx="6">
                  <c:v>КПНЗ </c:v>
                </c:pt>
                <c:pt idx="9">
                  <c:v>Адмінбудинок Носівської міської ради м.Носівка, вул.Центральна,20</c:v>
                </c:pt>
                <c:pt idx="10">
                  <c:v>Адмінбудинок м.Носівка, вул.Центральна,4 ( здається в оренду , знаходиться військомат)</c:v>
                </c:pt>
                <c:pt idx="11">
                  <c:v>Адмінбудинок м.Носівка, вул.Центральна,6 ( здається в оренду знаходиться Пенсійний фонд)</c:v>
                </c:pt>
                <c:pt idx="12">
                  <c:v>Адмінбудинок старостату с.Держанівка вул.Л.Українки 4а</c:v>
                </c:pt>
                <c:pt idx="13">
                  <c:v>Адмінбудинок старостату с.Іржавець вул.Носівська 46</c:v>
                </c:pt>
                <c:pt idx="14">
                  <c:v>Адмінбудинок старостату с.Тертишники</c:v>
                </c:pt>
                <c:pt idx="15">
                  <c:v>Адмінбудинок старостату с.Володькова Дівиця, вул.Центральна,79</c:v>
                </c:pt>
              </c:strCache>
            </c:strRef>
          </c:cat>
          <c:val>
            <c:numRef>
              <c:f>0</c:f>
              <c:numCache>
                <c:formatCode>General</c:formatCode>
                <c:ptCount val="16"/>
                <c:pt idx="0">
                  <c:v>26.815888587086</c:v>
                </c:pt>
                <c:pt idx="1">
                  <c:v>49.6585672</c:v>
                </c:pt>
                <c:pt idx="2">
                  <c:v>1.34808897243108E-2</c:v>
                </c:pt>
                <c:pt idx="3">
                  <c:v>30.546666666666699</c:v>
                </c:pt>
                <c:pt idx="4">
                  <c:v>28.637499999999999</c:v>
                </c:pt>
                <c:pt idx="5">
                  <c:v>0</c:v>
                </c:pt>
                <c:pt idx="6">
                  <c:v>28.887576419214</c:v>
                </c:pt>
                <c:pt idx="7">
                  <c:v>63.307794131521803</c:v>
                </c:pt>
                <c:pt idx="8">
                  <c:v>161.12497167138801</c:v>
                </c:pt>
                <c:pt idx="9">
                  <c:v>85.114035087719301</c:v>
                </c:pt>
                <c:pt idx="10">
                  <c:v>206.19</c:v>
                </c:pt>
                <c:pt idx="11">
                  <c:v>76.260748959778098</c:v>
                </c:pt>
                <c:pt idx="12">
                  <c:v>0</c:v>
                </c:pt>
                <c:pt idx="13">
                  <c:v>201.406593406593</c:v>
                </c:pt>
              </c:numCache>
            </c:numRef>
          </c:val>
          <c:smooth val="0"/>
        </c:ser>
        <c:ser>
          <c:idx val="1"/>
          <c:order val="1"/>
          <c:tx>
            <c:strRef>
              <c:f>label 1</c:f>
              <c:strCache>
                <c:ptCount val="1"/>
                <c:pt idx="0">
                  <c:v>Мінімальо допустиме питоме енергоспоживання, кВтгод/м³</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16"/>
                <c:pt idx="0">
                  <c:v>Носівський МБК</c:v>
                </c:pt>
                <c:pt idx="1">
                  <c:v>Публічна бібліотека</c:v>
                </c:pt>
                <c:pt idx="2">
                  <c:v>Козарський БК</c:v>
                </c:pt>
                <c:pt idx="3">
                  <c:v>Іржавецький БК</c:v>
                </c:pt>
                <c:pt idx="4">
                  <c:v>Адаміський клуб</c:v>
                </c:pt>
                <c:pt idx="5">
                  <c:v>Яснозірківський клуб</c:v>
                </c:pt>
                <c:pt idx="6">
                  <c:v>КПНЗ </c:v>
                </c:pt>
                <c:pt idx="9">
                  <c:v>Адмінбудинок Носівської міської ради м.Носівка, вул.Центральна,20</c:v>
                </c:pt>
                <c:pt idx="10">
                  <c:v>Адмінбудинок м.Носівка, вул.Центральна,4 ( здається в оренду , знаходиться військомат)</c:v>
                </c:pt>
                <c:pt idx="11">
                  <c:v>Адмінбудинок м.Носівка, вул.Центральна,6 ( здається в оренду знаходиться Пенсійний фонд)</c:v>
                </c:pt>
                <c:pt idx="12">
                  <c:v>Адмінбудинок старостату с.Держанівка вул.Л.Українки 4а</c:v>
                </c:pt>
                <c:pt idx="13">
                  <c:v>Адмінбудинок старостату с.Іржавець вул.Носівська 46</c:v>
                </c:pt>
                <c:pt idx="14">
                  <c:v>Адмінбудинок старостату с.Тертишники</c:v>
                </c:pt>
                <c:pt idx="15">
                  <c:v>Адмінбудинок старостату с.Володькова Дівиця, вул.Центральна,79</c:v>
                </c:pt>
              </c:strCache>
            </c:strRef>
          </c:cat>
          <c:val>
            <c:numRef>
              <c:f>1</c:f>
              <c:numCache>
                <c:formatCode>General</c:formatCode>
                <c:ptCount val="16"/>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numCache>
            </c:numRef>
          </c:val>
          <c:smooth val="0"/>
        </c:ser>
        <c:dLbls>
          <c:showLegendKey val="0"/>
          <c:showVal val="0"/>
          <c:showCatName val="0"/>
          <c:showSerName val="0"/>
          <c:showPercent val="0"/>
          <c:showBubbleSize val="0"/>
        </c:dLbls>
        <c:hiLowLines>
          <c:spPr>
            <a:ln w="9525">
              <a:solidFill>
                <a:schemeClr val="tx2">
                  <a:lumMod val="60000"/>
                  <a:lumOff val="40000"/>
                </a:schemeClr>
              </a:solidFill>
              <a:prstDash val="dash"/>
            </a:ln>
            <a:effectLst/>
          </c:spPr>
        </c:hiLowLines>
        <c:marker val="1"/>
        <c:smooth val="0"/>
        <c:axId val="230564608"/>
        <c:axId val="230566144"/>
      </c:lineChart>
      <c:catAx>
        <c:axId val="230564608"/>
        <c:scaling>
          <c:orientation val="minMax"/>
        </c:scaling>
        <c:delete val="0"/>
        <c:axPos val="b"/>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30566144"/>
        <c:crosses val="autoZero"/>
        <c:auto val="1"/>
        <c:lblAlgn val="ctr"/>
        <c:lblOffset val="100"/>
        <c:noMultiLvlLbl val="0"/>
      </c:catAx>
      <c:valAx>
        <c:axId val="230566144"/>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3056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tx2"/>
              </a:solidFill>
              <a:latin typeface="+mn-lt"/>
              <a:ea typeface="+mn-ea"/>
              <a:cs typeface="+mn-cs"/>
            </a:defRPr>
          </a:pPr>
          <a:endParaRPr lang="ru-RU"/>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ru-RU"/>
    </a:p>
  </c:txPr>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громадські будівлі</c:v>
                </c:pt>
              </c:strCache>
            </c:strRef>
          </c:tx>
          <c:spPr>
            <a:pattFill prst="ltUpDiag">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7828.1151499999996</c:v>
                </c:pt>
                <c:pt idx="1">
                  <c:v>11200.3170466667</c:v>
                </c:pt>
                <c:pt idx="2">
                  <c:v>10866.3474033333</c:v>
                </c:pt>
                <c:pt idx="3">
                  <c:v>10394.925956666701</c:v>
                </c:pt>
                <c:pt idx="4">
                  <c:v>16251.80089</c:v>
                </c:pt>
                <c:pt idx="5">
                  <c:v>18104.31854</c:v>
                </c:pt>
              </c:numCache>
            </c:numRef>
          </c:val>
        </c:ser>
        <c:ser>
          <c:idx val="1"/>
          <c:order val="1"/>
          <c:tx>
            <c:strRef>
              <c:f>label 1</c:f>
              <c:strCache>
                <c:ptCount val="1"/>
                <c:pt idx="0">
                  <c:v>житлові будівлі</c:v>
                </c:pt>
              </c:strCache>
            </c:strRef>
          </c:tx>
          <c:spPr>
            <a:pattFill prst="ltUpDiag">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165930.424476624</c:v>
                </c:pt>
                <c:pt idx="1">
                  <c:v>191286.57435681799</c:v>
                </c:pt>
                <c:pt idx="2">
                  <c:v>186036.191999945</c:v>
                </c:pt>
                <c:pt idx="3">
                  <c:v>184417.76501910799</c:v>
                </c:pt>
                <c:pt idx="4">
                  <c:v>236536.10264088601</c:v>
                </c:pt>
                <c:pt idx="5">
                  <c:v>259082.995566973</c:v>
                </c:pt>
              </c:numCache>
            </c:numRef>
          </c:val>
        </c:ser>
        <c:ser>
          <c:idx val="2"/>
          <c:order val="2"/>
          <c:tx>
            <c:strRef>
              <c:f>label 2</c:f>
              <c:strCache>
                <c:ptCount val="1"/>
                <c:pt idx="0">
                  <c:v>сфера теплопостачання</c:v>
                </c:pt>
              </c:strCache>
            </c:strRef>
          </c:tx>
          <c:spPr>
            <a:pattFill prst="ltUpDiag">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2</c:f>
              <c:numCache>
                <c:formatCode>General</c:formatCode>
                <c:ptCount val="6"/>
                <c:pt idx="0">
                  <c:v>2670.6</c:v>
                </c:pt>
                <c:pt idx="1">
                  <c:v>3209.8</c:v>
                </c:pt>
                <c:pt idx="2">
                  <c:v>3053.4</c:v>
                </c:pt>
                <c:pt idx="3">
                  <c:v>2454.4</c:v>
                </c:pt>
                <c:pt idx="4">
                  <c:v>5632.7</c:v>
                </c:pt>
                <c:pt idx="5">
                  <c:v>4116.1000000000004</c:v>
                </c:pt>
              </c:numCache>
            </c:numRef>
          </c:val>
        </c:ser>
        <c:ser>
          <c:idx val="3"/>
          <c:order val="3"/>
          <c:tx>
            <c:strRef>
              <c:f>label 3</c:f>
              <c:strCache>
                <c:ptCount val="1"/>
                <c:pt idx="0">
                  <c:v>сфера водопостачання і водовідведення</c:v>
                </c:pt>
              </c:strCache>
            </c:strRef>
          </c:tx>
          <c:spPr>
            <a:pattFill prst="ltUpDiag">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3</c:f>
              <c:numCache>
                <c:formatCode>General</c:formatCode>
                <c:ptCount val="6"/>
                <c:pt idx="0">
                  <c:v>1379</c:v>
                </c:pt>
                <c:pt idx="1">
                  <c:v>1512.4</c:v>
                </c:pt>
                <c:pt idx="2">
                  <c:v>1715.6</c:v>
                </c:pt>
                <c:pt idx="3">
                  <c:v>1411.8</c:v>
                </c:pt>
                <c:pt idx="4">
                  <c:v>2101.6</c:v>
                </c:pt>
                <c:pt idx="5">
                  <c:v>2632.2</c:v>
                </c:pt>
              </c:numCache>
            </c:numRef>
          </c:val>
        </c:ser>
        <c:ser>
          <c:idx val="4"/>
          <c:order val="4"/>
          <c:tx>
            <c:strRef>
              <c:f>label 4</c:f>
              <c:strCache>
                <c:ptCount val="1"/>
                <c:pt idx="0">
                  <c:v>сфера управління побутовими відходами</c:v>
                </c:pt>
              </c:strCache>
            </c:strRef>
          </c:tx>
          <c:spPr>
            <a:pattFill prst="ltUpDiag">
              <a:fgClr>
                <a:schemeClr val="accent5"/>
              </a:fgClr>
              <a:bgClr>
                <a:schemeClr val="accent5">
                  <a:lumMod val="20000"/>
                  <a:lumOff val="80000"/>
                </a:schemeClr>
              </a:bgClr>
            </a:pattFill>
            <a:ln>
              <a:noFill/>
            </a:ln>
            <a:effectLst>
              <a:innerShdw blurRad="114300">
                <a:schemeClr val="accent5"/>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4</c:f>
              <c:numCache>
                <c:formatCode>General</c:formatCode>
                <c:ptCount val="6"/>
                <c:pt idx="0">
                  <c:v>314.3</c:v>
                </c:pt>
                <c:pt idx="1">
                  <c:v>350.7</c:v>
                </c:pt>
                <c:pt idx="2">
                  <c:v>310</c:v>
                </c:pt>
                <c:pt idx="3">
                  <c:v>307.2</c:v>
                </c:pt>
                <c:pt idx="4">
                  <c:v>399.9</c:v>
                </c:pt>
                <c:pt idx="5">
                  <c:v>553.70000000000005</c:v>
                </c:pt>
              </c:numCache>
            </c:numRef>
          </c:val>
        </c:ser>
        <c:ser>
          <c:idx val="5"/>
          <c:order val="5"/>
          <c:tx>
            <c:strRef>
              <c:f>label 5</c:f>
              <c:strCache>
                <c:ptCount val="1"/>
                <c:pt idx="0">
                  <c:v>зовнішнє освітлення</c:v>
                </c:pt>
              </c:strCache>
            </c:strRef>
          </c:tx>
          <c:spPr>
            <a:pattFill prst="ltUpDiag">
              <a:fgClr>
                <a:schemeClr val="accent6"/>
              </a:fgClr>
              <a:bgClr>
                <a:schemeClr val="accent6">
                  <a:lumMod val="20000"/>
                  <a:lumOff val="80000"/>
                </a:schemeClr>
              </a:bgClr>
            </a:pattFill>
            <a:ln>
              <a:noFill/>
            </a:ln>
            <a:effectLst>
              <a:innerShdw blurRad="114300">
                <a:schemeClr val="accent6"/>
              </a:innerShdw>
            </a:effectLst>
          </c:spPr>
          <c:dLbls>
            <c:spPr>
              <a:noFill/>
              <a:ln>
                <a:noFill/>
                <a:round/>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5</c:f>
              <c:numCache>
                <c:formatCode>General</c:formatCode>
                <c:ptCount val="6"/>
                <c:pt idx="0">
                  <c:v>240</c:v>
                </c:pt>
                <c:pt idx="1">
                  <c:v>280</c:v>
                </c:pt>
                <c:pt idx="2">
                  <c:v>1042.5999999999999</c:v>
                </c:pt>
                <c:pt idx="3">
                  <c:v>791.8</c:v>
                </c:pt>
                <c:pt idx="4">
                  <c:v>409</c:v>
                </c:pt>
                <c:pt idx="5">
                  <c:v>393.8</c:v>
                </c:pt>
              </c:numCache>
            </c:numRef>
          </c:val>
        </c:ser>
        <c:ser>
          <c:idx val="6"/>
          <c:order val="6"/>
          <c:tx>
            <c:strRef>
              <c:f>label 6</c:f>
              <c:strCache>
                <c:ptCount val="1"/>
                <c:pt idx="0">
                  <c:v>громадський транспорт </c:v>
                </c:pt>
              </c:strCache>
            </c:strRef>
          </c:tx>
          <c:spPr>
            <a:pattFill prst="ltUpDiag">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6</c:f>
              <c:numCache>
                <c:formatCode>General</c:formatCode>
                <c:ptCount val="6"/>
                <c:pt idx="0">
                  <c:v>3114.39</c:v>
                </c:pt>
                <c:pt idx="1">
                  <c:v>3655.82</c:v>
                </c:pt>
                <c:pt idx="2">
                  <c:v>3607.3</c:v>
                </c:pt>
                <c:pt idx="3">
                  <c:v>2940.47</c:v>
                </c:pt>
                <c:pt idx="4">
                  <c:v>4932.4799999999996</c:v>
                </c:pt>
                <c:pt idx="5">
                  <c:v>3864.18</c:v>
                </c:pt>
              </c:numCache>
            </c:numRef>
          </c:val>
        </c:ser>
        <c:dLbls>
          <c:showLegendKey val="0"/>
          <c:showVal val="0"/>
          <c:showCatName val="0"/>
          <c:showSerName val="0"/>
          <c:showPercent val="0"/>
          <c:showBubbleSize val="0"/>
        </c:dLbls>
        <c:axId val="228476032"/>
        <c:axId val="228477952"/>
      </c:areaChart>
      <c:catAx>
        <c:axId val="228476032"/>
        <c:scaling>
          <c:orientation val="minMax"/>
        </c:scaling>
        <c:delete val="0"/>
        <c:axPos val="b"/>
        <c:title>
          <c:tx>
            <c:rich>
              <a:bodyPr rot="0" spcFirstLastPara="1" vertOverflow="ellipsis" vert="horz" wrap="square" anchor="ctr" anchorCtr="1"/>
              <a:lstStyle/>
              <a:p>
                <a:pPr>
                  <a:defRPr sz="900" b="1" i="0" u="none" strike="noStrike">
                    <a:solidFill>
                      <a:schemeClr val="tx1">
                        <a:lumMod val="65000"/>
                        <a:lumOff val="35000"/>
                      </a:schemeClr>
                    </a:solidFill>
                    <a:latin typeface="+mn-lt"/>
                    <a:ea typeface="+mn-ea"/>
                    <a:cs typeface="+mn-cs"/>
                  </a:defRPr>
                </a:pPr>
                <a:r>
                  <a:rPr lang="ru-RU"/>
                  <a:t>Рік</a:t>
                </a:r>
                <a:endParaRPr/>
              </a:p>
            </c:rich>
          </c:tx>
          <c:layout>
            <c:manualLayout>
              <c:xMode val="edge"/>
              <c:yMode val="edge"/>
              <c:x val="0.31906250000000003"/>
              <c:y val="0.88100000000000001"/>
            </c:manualLayout>
          </c:layout>
          <c:overlay val="0"/>
          <c:spPr>
            <a:noFill/>
            <a:ln>
              <a:noFill/>
            </a:ln>
            <a:effectLst/>
          </c:spPr>
        </c:title>
        <c:numFmt formatCode="General" sourceLinked="0"/>
        <c:majorTickMark val="out"/>
        <c:minorTickMark val="out"/>
        <c:tickLblPos val="nextTo"/>
        <c:spPr>
          <a:noFill/>
          <a:ln>
            <a:noFill/>
          </a:ln>
          <a:effectLst/>
        </c:spPr>
        <c:txPr>
          <a:bodyPr rot="-60000000" spcFirstLastPara="1" vertOverflow="ellipsis" vert="horz" wrap="square" anchor="ctr" anchorCtr="1"/>
          <a:lstStyle/>
          <a:p>
            <a:pPr>
              <a:defRPr sz="900" b="0" i="0" u="none" strike="noStrike" cap="all" spc="120">
                <a:solidFill>
                  <a:schemeClr val="tx1">
                    <a:lumMod val="65000"/>
                    <a:lumOff val="35000"/>
                  </a:schemeClr>
                </a:solidFill>
                <a:latin typeface="+mn-lt"/>
                <a:ea typeface="+mn-ea"/>
                <a:cs typeface="+mn-cs"/>
              </a:defRPr>
            </a:pPr>
            <a:endParaRPr lang="ru-RU"/>
          </a:p>
        </c:txPr>
        <c:crossAx val="228477952"/>
        <c:crosses val="autoZero"/>
        <c:auto val="1"/>
        <c:lblAlgn val="ctr"/>
        <c:lblOffset val="100"/>
        <c:noMultiLvlLbl val="0"/>
      </c:catAx>
      <c:valAx>
        <c:axId val="22847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tx1">
                        <a:lumMod val="65000"/>
                        <a:lumOff val="35000"/>
                      </a:schemeClr>
                    </a:solidFill>
                    <a:latin typeface="+mn-lt"/>
                    <a:ea typeface="+mn-ea"/>
                    <a:cs typeface="+mn-cs"/>
                  </a:defRPr>
                </a:pPr>
                <a:r>
                  <a:rPr lang="ru-RU"/>
                  <a:t>тис. грн</a:t>
                </a:r>
                <a:endParaRPr/>
              </a:p>
            </c:rich>
          </c:tx>
          <c:overlay val="0"/>
          <c:spPr>
            <a:noFill/>
            <a:ln>
              <a:noFill/>
            </a:ln>
            <a:effectLst/>
          </c:spPr>
        </c:title>
        <c:numFmt formatCode="#,##0.00\ &quot;₴&quot;" sourceLinked="0"/>
        <c:majorTickMark val="out"/>
        <c:minorTickMark val="none"/>
        <c:tickLblPos val="nextTo"/>
        <c:spPr>
          <a:noFill/>
          <a:ln>
            <a:noFill/>
            <a:miter/>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28476032"/>
        <c:crosses val="autoZero"/>
        <c:crossBetween val="midCat"/>
      </c:valAx>
      <c:spPr>
        <a:noFill/>
        <a:ln>
          <a:noFill/>
          <a:round/>
        </a:ln>
        <a:effectLst/>
      </c:spPr>
    </c:plotArea>
    <c:legend>
      <c:legendPos val="t"/>
      <c:overlay val="0"/>
      <c:spPr>
        <a:noFill/>
        <a:ln>
          <a:noFill/>
          <a:round/>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a:solidFill>
                  <a:schemeClr val="tx2"/>
                </a:solidFill>
                <a:latin typeface="+mn-lt"/>
                <a:ea typeface="+mn-ea"/>
                <a:cs typeface="+mn-cs"/>
              </a:defRPr>
            </a:pPr>
            <a:r>
              <a:rPr lang="uk-UA"/>
              <a:t>Порівняння питомого фактичного та базового енергоспоживання на опалення закладів дошкільної освіти, кВтгод/м³</a:t>
            </a:r>
            <a:endParaRPr/>
          </a:p>
        </c:rich>
      </c:tx>
      <c:overlay val="0"/>
      <c:spPr>
        <a:noFill/>
        <a:ln>
          <a:noFill/>
        </a:ln>
        <a:effectLst/>
      </c:spPr>
    </c:title>
    <c:autoTitleDeleted val="0"/>
    <c:plotArea>
      <c:layout/>
      <c:lineChart>
        <c:grouping val="standard"/>
        <c:varyColors val="0"/>
        <c:ser>
          <c:idx val="0"/>
          <c:order val="0"/>
          <c:tx>
            <c:strRef>
              <c:f>label 0</c:f>
              <c:strCache>
                <c:ptCount val="1"/>
                <c:pt idx="0">
                  <c:v>Фактичне питоме енергоспоживання, кВтгод/м³</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3"/>
                <c:pt idx="0">
                  <c:v>Носівський ДНЗ №1 «Барвінок»
м.Носівка, вул.Воскресенська, 11
</c:v>
                </c:pt>
                <c:pt idx="1">
                  <c:v>Носівський ДНЗ «Ромашка»
м.Носівка, вул.Цукрозаводська,8
</c:v>
                </c:pt>
                <c:pt idx="2">
                  <c:v>Володьководівицький ДНЗ «Дзвіночок»
с.Володькова Дівиця, вул. Освіти 15
</c:v>
                </c:pt>
              </c:strCache>
            </c:strRef>
          </c:cat>
          <c:val>
            <c:numRef>
              <c:f>0</c:f>
              <c:numCache>
                <c:formatCode>General</c:formatCode>
                <c:ptCount val="3"/>
                <c:pt idx="0">
                  <c:v>215.95856532435599</c:v>
                </c:pt>
                <c:pt idx="1">
                  <c:v>60.836468571428597</c:v>
                </c:pt>
                <c:pt idx="2">
                  <c:v>242.027827879412</c:v>
                </c:pt>
              </c:numCache>
            </c:numRef>
          </c:val>
          <c:smooth val="0"/>
        </c:ser>
        <c:ser>
          <c:idx val="1"/>
          <c:order val="1"/>
          <c:tx>
            <c:strRef>
              <c:f>label 1</c:f>
              <c:strCache>
                <c:ptCount val="1"/>
                <c:pt idx="0">
                  <c:v>Базове питоме енергоспоживання, кВтгод/м³</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3"/>
                <c:pt idx="0">
                  <c:v>Носівський ДНЗ №1 «Барвінок»
м.Носівка, вул.Воскресенська, 11
</c:v>
                </c:pt>
                <c:pt idx="1">
                  <c:v>Носівський ДНЗ «Ромашка»
м.Носівка, вул.Цукрозаводська,8
</c:v>
                </c:pt>
                <c:pt idx="2">
                  <c:v>Володьководівицький ДНЗ «Дзвіночок»
с.Володькова Дівиця, вул. Освіти 15
</c:v>
                </c:pt>
              </c:strCache>
            </c:strRef>
          </c:cat>
          <c:val>
            <c:numRef>
              <c:f>1</c:f>
              <c:numCache>
                <c:formatCode>General</c:formatCode>
                <c:ptCount val="3"/>
                <c:pt idx="0">
                  <c:v>215.95856532435599</c:v>
                </c:pt>
                <c:pt idx="1">
                  <c:v>111.346528372365</c:v>
                </c:pt>
                <c:pt idx="2">
                  <c:v>242.027827879412</c:v>
                </c:pt>
              </c:numCache>
            </c:numRef>
          </c:val>
          <c:smooth val="0"/>
        </c:ser>
        <c:dLbls>
          <c:showLegendKey val="0"/>
          <c:showVal val="0"/>
          <c:showCatName val="0"/>
          <c:showSerName val="0"/>
          <c:showPercent val="0"/>
          <c:showBubbleSize val="0"/>
        </c:dLbls>
        <c:hiLowLines>
          <c:spPr>
            <a:ln w="9525">
              <a:solidFill>
                <a:schemeClr val="tx2">
                  <a:lumMod val="60000"/>
                  <a:lumOff val="40000"/>
                </a:schemeClr>
              </a:solidFill>
              <a:prstDash val="dash"/>
            </a:ln>
            <a:effectLst/>
          </c:spPr>
        </c:hiLowLines>
        <c:marker val="1"/>
        <c:smooth val="0"/>
        <c:axId val="230609280"/>
        <c:axId val="230610816"/>
      </c:lineChart>
      <c:catAx>
        <c:axId val="230609280"/>
        <c:scaling>
          <c:orientation val="minMax"/>
        </c:scaling>
        <c:delete val="0"/>
        <c:axPos val="b"/>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30610816"/>
        <c:crosses val="autoZero"/>
        <c:auto val="1"/>
        <c:lblAlgn val="ctr"/>
        <c:lblOffset val="100"/>
        <c:noMultiLvlLbl val="0"/>
      </c:catAx>
      <c:valAx>
        <c:axId val="23061081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3060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tx2"/>
              </a:solidFill>
              <a:latin typeface="+mn-lt"/>
              <a:ea typeface="+mn-ea"/>
              <a:cs typeface="+mn-cs"/>
            </a:defRPr>
          </a:pPr>
          <a:endParaRPr lang="ru-RU"/>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ru-RU"/>
    </a:p>
  </c:txPr>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a:solidFill>
                  <a:schemeClr val="tx2"/>
                </a:solidFill>
                <a:latin typeface="+mn-lt"/>
                <a:ea typeface="+mn-ea"/>
                <a:cs typeface="+mn-cs"/>
              </a:defRPr>
            </a:pPr>
            <a:r>
              <a:rPr lang="uk-UA"/>
              <a:t>Порівняння питомого фактичного та базового енергоспоживання на опалення закладів освіти, кВтгод/м³</a:t>
            </a:r>
            <a:endParaRPr/>
          </a:p>
        </c:rich>
      </c:tx>
      <c:overlay val="0"/>
      <c:spPr>
        <a:noFill/>
        <a:ln>
          <a:noFill/>
        </a:ln>
        <a:effectLst/>
      </c:spPr>
    </c:title>
    <c:autoTitleDeleted val="0"/>
    <c:plotArea>
      <c:layout/>
      <c:lineChart>
        <c:grouping val="standard"/>
        <c:varyColors val="0"/>
        <c:ser>
          <c:idx val="0"/>
          <c:order val="0"/>
          <c:tx>
            <c:strRef>
              <c:f>label 0</c:f>
              <c:strCache>
                <c:ptCount val="1"/>
                <c:pt idx="0">
                  <c:v>Фактичне питоме енергоспоживання, кВтгод/м³</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9"/>
                <c:pt idx="0">
                  <c:v>Носівський ліцей №1
17100, м. Hociвкa, вул. Центральна, 25
</c:v>
                </c:pt>
                <c:pt idx="1">
                  <c:v>Носівська початкова школа
17100, м. Hociвкa, вул. Центральна, 25
</c:v>
                </c:pt>
                <c:pt idx="2">
                  <c:v>Носівська  гімназія №2
17101, м. Носівка, вул. Привітна, 1а
</c:v>
                </c:pt>
                <c:pt idx="3">
                  <c:v>Носівська гімназія № 3
17100, м. Hocівкa, вул. Козацька, 41
</c:v>
                </c:pt>
                <c:pt idx="4">
                  <c:v>Носівський ліцей  №5
17100, м. Hocівкa, вул. Вокзальна, 115
</c:v>
                </c:pt>
                <c:pt idx="5">
                  <c:v>Володьководівицький ліцей 
17130, с.Володькова Дівиця, вул. Центральна, 77
</c:v>
                </c:pt>
                <c:pt idx="6">
                  <c:v>Досліднянська гімназія
17131, с. Дослідне, вул. Миру, 6
</c:v>
                </c:pt>
                <c:pt idx="7">
                  <c:v>Сулацька  гімназія
17130, с. Сулак, вул. Миколаївська,71
</c:v>
                </c:pt>
                <c:pt idx="8">
                  <c:v>Держанівська гімназія
с.Держанівка, вул Лесі Українки, 15
</c:v>
                </c:pt>
              </c:strCache>
            </c:strRef>
          </c:cat>
          <c:val>
            <c:numRef>
              <c:f>0</c:f>
              <c:numCache>
                <c:formatCode>General</c:formatCode>
                <c:ptCount val="9"/>
                <c:pt idx="0">
                  <c:v>88.966890211552396</c:v>
                </c:pt>
                <c:pt idx="1">
                  <c:v>68.222832593525595</c:v>
                </c:pt>
                <c:pt idx="2">
                  <c:v>60.098810335546403</c:v>
                </c:pt>
                <c:pt idx="3">
                  <c:v>49.857288776541999</c:v>
                </c:pt>
                <c:pt idx="4">
                  <c:v>67.182664551223894</c:v>
                </c:pt>
                <c:pt idx="5">
                  <c:v>126.07711204314</c:v>
                </c:pt>
                <c:pt idx="6">
                  <c:v>36.432836928786799</c:v>
                </c:pt>
                <c:pt idx="7">
                  <c:v>95.957214285714301</c:v>
                </c:pt>
                <c:pt idx="8">
                  <c:v>29.309304029303998</c:v>
                </c:pt>
              </c:numCache>
            </c:numRef>
          </c:val>
          <c:smooth val="0"/>
        </c:ser>
        <c:ser>
          <c:idx val="1"/>
          <c:order val="1"/>
          <c:tx>
            <c:strRef>
              <c:f>label 1</c:f>
              <c:strCache>
                <c:ptCount val="1"/>
                <c:pt idx="0">
                  <c:v>Базове питоме енергоспоживання, кВтгод/м³</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2"/>
                    </a:solidFill>
                    <a:latin typeface="+mn-lt"/>
                    <a:ea typeface="+mn-ea"/>
                    <a:cs typeface="+mn-cs"/>
                  </a:defRPr>
                </a:pPr>
                <a:endParaRPr lang="ru-RU"/>
              </a:p>
            </c:txPr>
            <c:dLblPos val="r"/>
            <c:showLegendKey val="0"/>
            <c:showVal val="0"/>
            <c:showCatName val="0"/>
            <c:showSerName val="0"/>
            <c:showPercent val="0"/>
            <c:showBubbleSize val="1"/>
            <c:separator>; </c:separator>
            <c:showLeaderLines val="0"/>
          </c:dLbls>
          <c:cat>
            <c:strRef>
              <c:f>categories</c:f>
              <c:strCache>
                <c:ptCount val="9"/>
                <c:pt idx="0">
                  <c:v>Носівський ліцей №1
17100, м. Hociвкa, вул. Центральна, 25
</c:v>
                </c:pt>
                <c:pt idx="1">
                  <c:v>Носівська початкова школа
17100, м. Hociвкa, вул. Центральна, 25
</c:v>
                </c:pt>
                <c:pt idx="2">
                  <c:v>Носівська  гімназія №2
17101, м. Носівка, вул. Привітна, 1а
</c:v>
                </c:pt>
                <c:pt idx="3">
                  <c:v>Носівська гімназія № 3
17100, м. Hocівкa, вул. Козацька, 41
</c:v>
                </c:pt>
                <c:pt idx="4">
                  <c:v>Носівський ліцей  №5
17100, м. Hocівкa, вул. Вокзальна, 115
</c:v>
                </c:pt>
                <c:pt idx="5">
                  <c:v>Володьководівицький ліцей 
17130, с.Володькова Дівиця, вул. Центральна, 77
</c:v>
                </c:pt>
                <c:pt idx="6">
                  <c:v>Досліднянська гімназія
17131, с. Дослідне, вул. Миру, 6
</c:v>
                </c:pt>
                <c:pt idx="7">
                  <c:v>Сулацька  гімназія
17130, с. Сулак, вул. Миколаївська,71
</c:v>
                </c:pt>
                <c:pt idx="8">
                  <c:v>Держанівська гімназія
с.Держанівка, вул Лесі Українки, 15
</c:v>
                </c:pt>
              </c:strCache>
            </c:strRef>
          </c:cat>
          <c:val>
            <c:numRef>
              <c:f>1</c:f>
              <c:numCache>
                <c:formatCode>General</c:formatCode>
                <c:ptCount val="9"/>
                <c:pt idx="0">
                  <c:v>142.480809135794</c:v>
                </c:pt>
                <c:pt idx="1">
                  <c:v>109.25912287534599</c:v>
                </c:pt>
                <c:pt idx="2">
                  <c:v>96.248470687754704</c:v>
                </c:pt>
                <c:pt idx="3">
                  <c:v>98.779279143967102</c:v>
                </c:pt>
                <c:pt idx="4">
                  <c:v>93.5288075124882</c:v>
                </c:pt>
                <c:pt idx="5">
                  <c:v>126.07711204314</c:v>
                </c:pt>
                <c:pt idx="6">
                  <c:v>98.4919576349251</c:v>
                </c:pt>
                <c:pt idx="7">
                  <c:v>95.957214285714301</c:v>
                </c:pt>
                <c:pt idx="8">
                  <c:v>106.088186741363</c:v>
                </c:pt>
              </c:numCache>
            </c:numRef>
          </c:val>
          <c:smooth val="0"/>
        </c:ser>
        <c:dLbls>
          <c:showLegendKey val="0"/>
          <c:showVal val="0"/>
          <c:showCatName val="0"/>
          <c:showSerName val="0"/>
          <c:showPercent val="0"/>
          <c:showBubbleSize val="0"/>
        </c:dLbls>
        <c:hiLowLines>
          <c:spPr>
            <a:ln w="9525">
              <a:solidFill>
                <a:schemeClr val="tx2">
                  <a:lumMod val="60000"/>
                  <a:lumOff val="40000"/>
                </a:schemeClr>
              </a:solidFill>
              <a:prstDash val="dash"/>
            </a:ln>
            <a:effectLst/>
          </c:spPr>
        </c:hiLowLines>
        <c:marker val="1"/>
        <c:smooth val="0"/>
        <c:axId val="230727680"/>
        <c:axId val="230729216"/>
      </c:lineChart>
      <c:catAx>
        <c:axId val="230727680"/>
        <c:scaling>
          <c:orientation val="minMax"/>
        </c:scaling>
        <c:delete val="0"/>
        <c:axPos val="b"/>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30729216"/>
        <c:crosses val="autoZero"/>
        <c:auto val="1"/>
        <c:lblAlgn val="ctr"/>
        <c:lblOffset val="100"/>
        <c:noMultiLvlLbl val="0"/>
      </c:catAx>
      <c:valAx>
        <c:axId val="23072921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2"/>
                </a:solidFill>
                <a:latin typeface="+mn-lt"/>
                <a:ea typeface="+mn-ea"/>
                <a:cs typeface="+mn-cs"/>
              </a:defRPr>
            </a:pPr>
            <a:endParaRPr lang="ru-RU"/>
          </a:p>
        </c:txPr>
        <c:crossAx val="23072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tx2"/>
              </a:solidFill>
              <a:latin typeface="+mn-lt"/>
              <a:ea typeface="+mn-ea"/>
              <a:cs typeface="+mn-cs"/>
            </a:defRPr>
          </a:pPr>
          <a:endParaRPr lang="ru-RU"/>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ru-RU"/>
    </a:p>
  </c:txPr>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громадські!$R$3</c:f>
              <c:strCache>
                <c:ptCount val="1"/>
                <c:pt idx="0">
                  <c:v>Історичне споживання</c:v>
                </c:pt>
              </c:strCache>
            </c:strRef>
          </c:tx>
          <c:spPr>
            <a:solidFill>
              <a:schemeClr val="accent1"/>
            </a:solidFill>
            <a:ln>
              <a:noFill/>
            </a:ln>
            <a:effectLst/>
          </c:spPr>
          <c:cat>
            <c:numRef>
              <c:f>громадські!$S$2:$AF$2</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громадські!$S$3:$AF$3</c:f>
              <c:numCache>
                <c:formatCode>#\ ##0.0</c:formatCode>
                <c:ptCount val="14"/>
                <c:pt idx="0">
                  <c:v>16261.495998364146</c:v>
                </c:pt>
                <c:pt idx="1">
                  <c:v>19663.154501152894</c:v>
                </c:pt>
                <c:pt idx="2">
                  <c:v>17944.994759401456</c:v>
                </c:pt>
                <c:pt idx="3">
                  <c:v>16496.12085697916</c:v>
                </c:pt>
                <c:pt idx="4">
                  <c:v>21428.599098624647</c:v>
                </c:pt>
                <c:pt idx="5">
                  <c:v>14344.182354999999</c:v>
                </c:pt>
                <c:pt idx="6">
                  <c:v>14344.182354999999</c:v>
                </c:pt>
                <c:pt idx="7" formatCode="General">
                  <c:v>0</c:v>
                </c:pt>
              </c:numCache>
            </c:numRef>
          </c:val>
        </c:ser>
        <c:ser>
          <c:idx val="1"/>
          <c:order val="1"/>
          <c:tx>
            <c:strRef>
              <c:f>громадські!$R$4</c:f>
              <c:strCache>
                <c:ptCount val="1"/>
                <c:pt idx="0">
                  <c:v>Прогнозоване споживання</c:v>
                </c:pt>
              </c:strCache>
            </c:strRef>
          </c:tx>
          <c:spPr>
            <a:solidFill>
              <a:schemeClr val="accent2"/>
            </a:solidFill>
            <a:ln>
              <a:noFill/>
            </a:ln>
            <a:effectLst/>
          </c:spPr>
          <c:cat>
            <c:numRef>
              <c:f>громадські!$S$2:$AF$2</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громадські!$S$4:$AF$4</c:f>
              <c:numCache>
                <c:formatCode>General</c:formatCode>
                <c:ptCount val="14"/>
                <c:pt idx="6" formatCode="#\ ##0.0">
                  <c:v>0</c:v>
                </c:pt>
                <c:pt idx="7" formatCode="#\ ##0.00\ _₴">
                  <c:v>13648.524754999999</c:v>
                </c:pt>
                <c:pt idx="8" formatCode="#\ ##0.00\ _₴">
                  <c:v>13648.524754999999</c:v>
                </c:pt>
                <c:pt idx="9" formatCode="#\ ##0.00\ _₴">
                  <c:v>13648.524754999999</c:v>
                </c:pt>
                <c:pt idx="10" formatCode="#\ ##0.00\ _₴">
                  <c:v>13648.524754999999</c:v>
                </c:pt>
                <c:pt idx="11" formatCode="#\ ##0.00\ _₴">
                  <c:v>13648.524754999999</c:v>
                </c:pt>
                <c:pt idx="12" formatCode="#\ ##0.00\ _₴">
                  <c:v>13648.524754999999</c:v>
                </c:pt>
                <c:pt idx="13" formatCode="#\ ##0.00\ _₴">
                  <c:v>13648.524754999999</c:v>
                </c:pt>
              </c:numCache>
            </c:numRef>
          </c:val>
        </c:ser>
        <c:dLbls>
          <c:showLegendKey val="0"/>
          <c:showVal val="0"/>
          <c:showCatName val="0"/>
          <c:showSerName val="0"/>
          <c:showPercent val="0"/>
          <c:showBubbleSize val="0"/>
        </c:dLbls>
        <c:axId val="231256448"/>
        <c:axId val="231258368"/>
      </c:areaChart>
      <c:catAx>
        <c:axId val="231256448"/>
        <c:scaling>
          <c:orientation val="minMax"/>
        </c:scaling>
        <c:delete val="0"/>
        <c:axPos val="b"/>
        <c:title>
          <c:tx>
            <c:rich>
              <a:bodyPr rot="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258368"/>
        <c:crosses val="autoZero"/>
        <c:auto val="1"/>
        <c:lblAlgn val="ctr"/>
        <c:lblOffset val="100"/>
        <c:noMultiLvlLbl val="0"/>
      </c:catAx>
      <c:valAx>
        <c:axId val="23125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a:t>Споживання енернгії, Мвт*год</a:t>
                </a:r>
                <a:endParaRPr/>
              </a:p>
            </c:rich>
          </c:tx>
          <c:overlay val="0"/>
          <c:spPr>
            <a:noFill/>
            <a:ln>
              <a:noFill/>
            </a:ln>
            <a:effectLst/>
          </c:sp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2564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графіки!$B$2</c:f>
              <c:strCache>
                <c:ptCount val="1"/>
                <c:pt idx="0">
                  <c:v>Історичне споживання</c:v>
                </c:pt>
              </c:strCache>
            </c:strRef>
          </c:tx>
          <c:spPr>
            <a:solidFill>
              <a:schemeClr val="accent1"/>
            </a:solidFill>
            <a:ln>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графіки!$C$2:$P$2</c:f>
              <c:numCache>
                <c:formatCode>#\ ##0.0</c:formatCode>
                <c:ptCount val="14"/>
                <c:pt idx="0">
                  <c:v>199641.60848591378</c:v>
                </c:pt>
                <c:pt idx="1">
                  <c:v>198648.36665265055</c:v>
                </c:pt>
                <c:pt idx="2">
                  <c:v>197660.06632104533</c:v>
                </c:pt>
                <c:pt idx="3">
                  <c:v>196676.68290651278</c:v>
                </c:pt>
                <c:pt idx="4">
                  <c:v>195698.19194677891</c:v>
                </c:pt>
                <c:pt idx="5">
                  <c:v>194724.56910127256</c:v>
                </c:pt>
                <c:pt idx="6">
                  <c:v>193755.79015051998</c:v>
                </c:pt>
              </c:numCache>
            </c:numRef>
          </c:val>
        </c:ser>
        <c:ser>
          <c:idx val="1"/>
          <c:order val="1"/>
          <c:tx>
            <c:strRef>
              <c:f>графіки!$B$3</c:f>
              <c:strCache>
                <c:ptCount val="1"/>
                <c:pt idx="0">
                  <c:v>Прогнозоване споживання</c:v>
                </c:pt>
              </c:strCache>
            </c:strRef>
          </c:tx>
          <c:spPr>
            <a:solidFill>
              <a:schemeClr val="accent2"/>
            </a:solidFill>
            <a:ln w="25400">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графіки!$C$3:$P$3</c:f>
              <c:numCache>
                <c:formatCode>General</c:formatCode>
                <c:ptCount val="14"/>
                <c:pt idx="7" formatCode="#\ ##0.00\ _₴">
                  <c:v>191818.23224901478</c:v>
                </c:pt>
                <c:pt idx="8" formatCode="#\ ##0.00\ _₴">
                  <c:v>189900.04992652463</c:v>
                </c:pt>
                <c:pt idx="9" formatCode="#\ ##0.00\ _₴">
                  <c:v>188001.04942725939</c:v>
                </c:pt>
                <c:pt idx="10" formatCode="#\ ##0.00\ _₴">
                  <c:v>186121.03893298679</c:v>
                </c:pt>
                <c:pt idx="11" formatCode="#\ ##0.00\ _₴">
                  <c:v>184259.82854365691</c:v>
                </c:pt>
                <c:pt idx="12" formatCode="#\ ##0.00\ _₴">
                  <c:v>182417.23025822034</c:v>
                </c:pt>
                <c:pt idx="13" formatCode="#\ ##0.00\ _₴">
                  <c:v>180593.05795563813</c:v>
                </c:pt>
              </c:numCache>
            </c:numRef>
          </c:val>
        </c:ser>
        <c:dLbls>
          <c:showLegendKey val="0"/>
          <c:showVal val="0"/>
          <c:showCatName val="0"/>
          <c:showSerName val="0"/>
          <c:showPercent val="0"/>
          <c:showBubbleSize val="0"/>
        </c:dLbls>
        <c:axId val="230075392"/>
        <c:axId val="230085760"/>
      </c:areaChart>
      <c:catAx>
        <c:axId val="230075392"/>
        <c:scaling>
          <c:orientation val="minMax"/>
        </c:scaling>
        <c:delete val="0"/>
        <c:axPos val="b"/>
        <c:title>
          <c:tx>
            <c:rich>
              <a:bodyPr rot="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0085760"/>
        <c:crosses val="autoZero"/>
        <c:auto val="1"/>
        <c:lblAlgn val="ctr"/>
        <c:lblOffset val="100"/>
        <c:noMultiLvlLbl val="0"/>
      </c:catAx>
      <c:valAx>
        <c:axId val="23008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sz="1000" b="0" i="0" u="none" strike="noStrike">
                    <a:solidFill>
                      <a:sysClr val="windowText" lastClr="000000">
                        <a:lumMod val="65000"/>
                        <a:lumOff val="35000"/>
                      </a:sysClr>
                    </a:solidFill>
                  </a:rPr>
                  <a:t>Споживання енернгії, Мвт*год</a:t>
                </a:r>
                <a:endParaRPr/>
              </a:p>
            </c:rich>
          </c:tx>
          <c:overlay val="0"/>
          <c:spPr>
            <a:noFill/>
            <a:ln>
              <a:noFill/>
            </a:ln>
            <a:effectLst/>
          </c:sp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00753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графіки!$B$5</c:f>
              <c:strCache>
                <c:ptCount val="1"/>
                <c:pt idx="0">
                  <c:v>Історичне споживання</c:v>
                </c:pt>
              </c:strCache>
            </c:strRef>
          </c:tx>
          <c:spPr>
            <a:solidFill>
              <a:schemeClr val="accent1"/>
            </a:solidFill>
            <a:ln w="25400">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графіки!$C$5:$P$5</c:f>
              <c:numCache>
                <c:formatCode>General</c:formatCode>
                <c:ptCount val="14"/>
                <c:pt idx="0">
                  <c:v>179.13695999999999</c:v>
                </c:pt>
                <c:pt idx="1">
                  <c:v>211.49664999999999</c:v>
                </c:pt>
                <c:pt idx="2">
                  <c:v>200.87598300000002</c:v>
                </c:pt>
                <c:pt idx="3">
                  <c:v>178.169105</c:v>
                </c:pt>
                <c:pt idx="4">
                  <c:v>224.75633800000003</c:v>
                </c:pt>
                <c:pt idx="5">
                  <c:v>177.94191000000001</c:v>
                </c:pt>
                <c:pt idx="6">
                  <c:v>177.94191000000001</c:v>
                </c:pt>
              </c:numCache>
            </c:numRef>
          </c:val>
        </c:ser>
        <c:ser>
          <c:idx val="1"/>
          <c:order val="1"/>
          <c:tx>
            <c:strRef>
              <c:f>графіки!$B$6</c:f>
              <c:strCache>
                <c:ptCount val="1"/>
                <c:pt idx="0">
                  <c:v>Прогнозоване споживання</c:v>
                </c:pt>
              </c:strCache>
            </c:strRef>
          </c:tx>
          <c:spPr>
            <a:solidFill>
              <a:schemeClr val="accent2"/>
            </a:solidFill>
            <a:ln w="25400">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графіки!$C$6:$P$6</c:f>
              <c:numCache>
                <c:formatCode>General</c:formatCode>
                <c:ptCount val="14"/>
                <c:pt idx="7" formatCode="#\ ##0.00\ _₴">
                  <c:v>177</c:v>
                </c:pt>
                <c:pt idx="8" formatCode="#\ ##0.00\ _₴">
                  <c:v>177</c:v>
                </c:pt>
                <c:pt idx="9" formatCode="#\ ##0.00\ _₴">
                  <c:v>177</c:v>
                </c:pt>
                <c:pt idx="10" formatCode="#\ ##0.00\ _₴">
                  <c:v>177</c:v>
                </c:pt>
                <c:pt idx="11" formatCode="#\ ##0.00\ _₴">
                  <c:v>177</c:v>
                </c:pt>
                <c:pt idx="12" formatCode="#\ ##0.00\ _₴">
                  <c:v>177</c:v>
                </c:pt>
                <c:pt idx="13" formatCode="#\ ##0.00\ _₴">
                  <c:v>177</c:v>
                </c:pt>
              </c:numCache>
            </c:numRef>
          </c:val>
        </c:ser>
        <c:dLbls>
          <c:showLegendKey val="0"/>
          <c:showVal val="0"/>
          <c:showCatName val="0"/>
          <c:showSerName val="0"/>
          <c:showPercent val="0"/>
          <c:showBubbleSize val="0"/>
        </c:dLbls>
        <c:axId val="231397632"/>
        <c:axId val="231399808"/>
      </c:areaChart>
      <c:catAx>
        <c:axId val="231397632"/>
        <c:scaling>
          <c:orientation val="minMax"/>
        </c:scaling>
        <c:delete val="0"/>
        <c:axPos val="b"/>
        <c:title>
          <c:tx>
            <c:rich>
              <a:bodyPr rot="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399808"/>
        <c:crosses val="autoZero"/>
        <c:auto val="1"/>
        <c:lblAlgn val="ctr"/>
        <c:lblOffset val="100"/>
        <c:noMultiLvlLbl val="0"/>
      </c:catAx>
      <c:valAx>
        <c:axId val="23139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sz="1000" b="0" i="0" u="none" strike="noStrike">
                    <a:solidFill>
                      <a:sysClr val="windowText" lastClr="000000">
                        <a:lumMod val="65000"/>
                        <a:lumOff val="35000"/>
                      </a:sysClr>
                    </a:solidFill>
                  </a:rPr>
                  <a:t>Споживання енернгії, Мвт*год</a:t>
                </a:r>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3976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графіки!$B$8</c:f>
              <c:strCache>
                <c:ptCount val="1"/>
                <c:pt idx="0">
                  <c:v>Історичне споживання</c:v>
                </c:pt>
              </c:strCache>
            </c:strRef>
          </c:tx>
          <c:spPr>
            <a:solidFill>
              <a:schemeClr val="accent1"/>
            </a:solidFill>
            <a:ln w="25400">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графіки!$C$8:$P$8</c:f>
              <c:numCache>
                <c:formatCode>General</c:formatCode>
                <c:ptCount val="14"/>
                <c:pt idx="0">
                  <c:v>326.7</c:v>
                </c:pt>
                <c:pt idx="1">
                  <c:v>311.60000000000002</c:v>
                </c:pt>
                <c:pt idx="2">
                  <c:v>331.7</c:v>
                </c:pt>
                <c:pt idx="3">
                  <c:v>266.7</c:v>
                </c:pt>
                <c:pt idx="4">
                  <c:v>293.16999999999996</c:v>
                </c:pt>
                <c:pt idx="5">
                  <c:v>275.10000000000002</c:v>
                </c:pt>
                <c:pt idx="6">
                  <c:v>275.10000000000002</c:v>
                </c:pt>
              </c:numCache>
            </c:numRef>
          </c:val>
        </c:ser>
        <c:ser>
          <c:idx val="1"/>
          <c:order val="1"/>
          <c:tx>
            <c:strRef>
              <c:f>графіки!$B$9</c:f>
              <c:strCache>
                <c:ptCount val="1"/>
                <c:pt idx="0">
                  <c:v>Прогнозоване споживання</c:v>
                </c:pt>
              </c:strCache>
            </c:strRef>
          </c:tx>
          <c:spPr>
            <a:solidFill>
              <a:schemeClr val="accent2"/>
            </a:solidFill>
            <a:ln w="25400">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графіки!$C$9:$P$9</c:f>
              <c:numCache>
                <c:formatCode>General</c:formatCode>
                <c:ptCount val="14"/>
                <c:pt idx="7" formatCode="#\ ##0.00\ _₴">
                  <c:v>272.34900000000005</c:v>
                </c:pt>
                <c:pt idx="8" formatCode="#\ ##0.00\ _₴">
                  <c:v>269.62551000000002</c:v>
                </c:pt>
                <c:pt idx="9" formatCode="#\ ##0.00\ _₴">
                  <c:v>266.92925489999999</c:v>
                </c:pt>
                <c:pt idx="10" formatCode="#\ ##0.00\ _₴">
                  <c:v>264.25996235100001</c:v>
                </c:pt>
                <c:pt idx="11" formatCode="#\ ##0.00\ _₴">
                  <c:v>261.61736272748999</c:v>
                </c:pt>
                <c:pt idx="12" formatCode="#\ ##0.00\ _₴">
                  <c:v>259.00118910021507</c:v>
                </c:pt>
                <c:pt idx="13" formatCode="#\ ##0.00\ _₴">
                  <c:v>256.41117720921289</c:v>
                </c:pt>
              </c:numCache>
            </c:numRef>
          </c:val>
        </c:ser>
        <c:dLbls>
          <c:showLegendKey val="0"/>
          <c:showVal val="0"/>
          <c:showCatName val="0"/>
          <c:showSerName val="0"/>
          <c:showPercent val="0"/>
          <c:showBubbleSize val="0"/>
        </c:dLbls>
        <c:axId val="231429248"/>
        <c:axId val="231431168"/>
      </c:areaChart>
      <c:catAx>
        <c:axId val="231429248"/>
        <c:scaling>
          <c:orientation val="minMax"/>
        </c:scaling>
        <c:delete val="0"/>
        <c:axPos val="b"/>
        <c:title>
          <c:tx>
            <c:rich>
              <a:bodyPr rot="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431168"/>
        <c:crosses val="autoZero"/>
        <c:auto val="1"/>
        <c:lblAlgn val="ctr"/>
        <c:lblOffset val="100"/>
        <c:noMultiLvlLbl val="0"/>
      </c:catAx>
      <c:valAx>
        <c:axId val="231431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sz="1000" b="0" i="0" u="none" strike="noStrike">
                    <a:solidFill>
                      <a:sysClr val="windowText" lastClr="000000">
                        <a:lumMod val="65000"/>
                        <a:lumOff val="35000"/>
                      </a:sysClr>
                    </a:solidFill>
                  </a:rPr>
                  <a:t>Споживання енернгії, Мвт*год</a:t>
                </a:r>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4292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графіки!$B$11</c:f>
              <c:strCache>
                <c:ptCount val="1"/>
                <c:pt idx="0">
                  <c:v>Історичне споживання</c:v>
                </c:pt>
              </c:strCache>
            </c:strRef>
          </c:tx>
          <c:spPr>
            <a:solidFill>
              <a:schemeClr val="accent1"/>
            </a:solidFill>
            <a:ln w="25400">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графіки!$C$11:$P$11</c:f>
              <c:numCache>
                <c:formatCode>General</c:formatCode>
                <c:ptCount val="14"/>
                <c:pt idx="0">
                  <c:v>278.91999999999996</c:v>
                </c:pt>
                <c:pt idx="1">
                  <c:v>280.94</c:v>
                </c:pt>
                <c:pt idx="2">
                  <c:v>276.42</c:v>
                </c:pt>
                <c:pt idx="3">
                  <c:v>264.28099999999995</c:v>
                </c:pt>
                <c:pt idx="4">
                  <c:v>271.71100000000001</c:v>
                </c:pt>
                <c:pt idx="5">
                  <c:v>231.07999999999998</c:v>
                </c:pt>
                <c:pt idx="6">
                  <c:v>267.22533333333331</c:v>
                </c:pt>
              </c:numCache>
            </c:numRef>
          </c:val>
        </c:ser>
        <c:ser>
          <c:idx val="1"/>
          <c:order val="1"/>
          <c:tx>
            <c:strRef>
              <c:f>графіки!$B$12</c:f>
              <c:strCache>
                <c:ptCount val="1"/>
                <c:pt idx="0">
                  <c:v>Прогнозоване споживання</c:v>
                </c:pt>
              </c:strCache>
            </c:strRef>
          </c:tx>
          <c:spPr>
            <a:solidFill>
              <a:schemeClr val="accent2"/>
            </a:solidFill>
            <a:ln w="25400">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графіки!$C$12:$P$12</c:f>
              <c:numCache>
                <c:formatCode>General</c:formatCode>
                <c:ptCount val="14"/>
                <c:pt idx="7" formatCode="#\ ##0.00\ _₴">
                  <c:v>267.22533333333331</c:v>
                </c:pt>
                <c:pt idx="8" formatCode="#\ ##0.00\ _₴">
                  <c:v>267.22533333333331</c:v>
                </c:pt>
                <c:pt idx="9" formatCode="#\ ##0.00\ _₴">
                  <c:v>267.22533333333331</c:v>
                </c:pt>
                <c:pt idx="10" formatCode="#\ ##0.00\ _₴">
                  <c:v>267.22533333333331</c:v>
                </c:pt>
                <c:pt idx="11" formatCode="#\ ##0.00\ _₴">
                  <c:v>267.22533333333331</c:v>
                </c:pt>
                <c:pt idx="12" formatCode="#\ ##0.00\ _₴">
                  <c:v>267.22533333333331</c:v>
                </c:pt>
                <c:pt idx="13" formatCode="#\ ##0.00\ _₴">
                  <c:v>267.22533333333331</c:v>
                </c:pt>
              </c:numCache>
            </c:numRef>
          </c:val>
        </c:ser>
        <c:dLbls>
          <c:showLegendKey val="0"/>
          <c:showVal val="0"/>
          <c:showCatName val="0"/>
          <c:showSerName val="0"/>
          <c:showPercent val="0"/>
          <c:showBubbleSize val="0"/>
        </c:dLbls>
        <c:axId val="231755776"/>
        <c:axId val="231757696"/>
      </c:areaChart>
      <c:catAx>
        <c:axId val="231755776"/>
        <c:scaling>
          <c:orientation val="minMax"/>
        </c:scaling>
        <c:delete val="0"/>
        <c:axPos val="b"/>
        <c:title>
          <c:tx>
            <c:rich>
              <a:bodyPr rot="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757696"/>
        <c:crosses val="autoZero"/>
        <c:auto val="1"/>
        <c:lblAlgn val="ctr"/>
        <c:lblOffset val="100"/>
        <c:noMultiLvlLbl val="0"/>
      </c:catAx>
      <c:valAx>
        <c:axId val="231757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sz="1000" b="0" i="0" u="none" strike="noStrike">
                    <a:solidFill>
                      <a:sysClr val="windowText" lastClr="000000">
                        <a:lumMod val="65000"/>
                        <a:lumOff val="35000"/>
                      </a:sysClr>
                    </a:solidFill>
                  </a:rPr>
                  <a:t>Споживання енернгії, Мвт*год</a:t>
                </a:r>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7557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графіки!$B$14</c:f>
              <c:strCache>
                <c:ptCount val="1"/>
                <c:pt idx="0">
                  <c:v>Історичне споживання</c:v>
                </c:pt>
              </c:strCache>
            </c:strRef>
          </c:tx>
          <c:spPr>
            <a:solidFill>
              <a:schemeClr val="accent1"/>
            </a:solidFill>
            <a:ln w="25400">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графіки!$C$14:$P$14</c:f>
              <c:numCache>
                <c:formatCode>General</c:formatCode>
                <c:ptCount val="14"/>
                <c:pt idx="0">
                  <c:v>238.4</c:v>
                </c:pt>
                <c:pt idx="1">
                  <c:v>191.2</c:v>
                </c:pt>
                <c:pt idx="2">
                  <c:v>240</c:v>
                </c:pt>
                <c:pt idx="3">
                  <c:v>210.1</c:v>
                </c:pt>
                <c:pt idx="4">
                  <c:v>192.8</c:v>
                </c:pt>
                <c:pt idx="5">
                  <c:v>192.8</c:v>
                </c:pt>
                <c:pt idx="6">
                  <c:v>192.8</c:v>
                </c:pt>
              </c:numCache>
            </c:numRef>
          </c:val>
        </c:ser>
        <c:ser>
          <c:idx val="1"/>
          <c:order val="1"/>
          <c:tx>
            <c:strRef>
              <c:f>графіки!$B$15</c:f>
              <c:strCache>
                <c:ptCount val="1"/>
                <c:pt idx="0">
                  <c:v>Прогнозоване споживання</c:v>
                </c:pt>
              </c:strCache>
            </c:strRef>
          </c:tx>
          <c:spPr>
            <a:solidFill>
              <a:schemeClr val="accent2"/>
            </a:solidFill>
            <a:ln w="25400">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графіки!$C$15:$P$15</c:f>
              <c:numCache>
                <c:formatCode>General</c:formatCode>
                <c:ptCount val="14"/>
                <c:pt idx="7">
                  <c:v>192.8</c:v>
                </c:pt>
                <c:pt idx="8">
                  <c:v>192.8</c:v>
                </c:pt>
                <c:pt idx="9">
                  <c:v>192.8</c:v>
                </c:pt>
                <c:pt idx="10">
                  <c:v>192.8</c:v>
                </c:pt>
                <c:pt idx="11">
                  <c:v>192.8</c:v>
                </c:pt>
                <c:pt idx="12">
                  <c:v>192.8</c:v>
                </c:pt>
                <c:pt idx="13">
                  <c:v>192.8</c:v>
                </c:pt>
              </c:numCache>
            </c:numRef>
          </c:val>
        </c:ser>
        <c:dLbls>
          <c:showLegendKey val="0"/>
          <c:showVal val="0"/>
          <c:showCatName val="0"/>
          <c:showSerName val="0"/>
          <c:showPercent val="0"/>
          <c:showBubbleSize val="0"/>
        </c:dLbls>
        <c:axId val="231545472"/>
        <c:axId val="231555840"/>
      </c:areaChart>
      <c:catAx>
        <c:axId val="231545472"/>
        <c:scaling>
          <c:orientation val="minMax"/>
        </c:scaling>
        <c:delete val="0"/>
        <c:axPos val="b"/>
        <c:title>
          <c:tx>
            <c:rich>
              <a:bodyPr rot="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555840"/>
        <c:crosses val="autoZero"/>
        <c:auto val="1"/>
        <c:lblAlgn val="ctr"/>
        <c:lblOffset val="100"/>
        <c:noMultiLvlLbl val="0"/>
      </c:catAx>
      <c:valAx>
        <c:axId val="23155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sz="1000" b="0" i="0" u="none" strike="noStrike">
                    <a:solidFill>
                      <a:sysClr val="windowText" lastClr="000000">
                        <a:lumMod val="65000"/>
                        <a:lumOff val="35000"/>
                      </a:sysClr>
                    </a:solidFill>
                  </a:rPr>
                  <a:t>Споживання енернгії, Мвт*год</a:t>
                </a:r>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5454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графіки!$B$17</c:f>
              <c:strCache>
                <c:ptCount val="1"/>
                <c:pt idx="0">
                  <c:v>Історичне споживання</c:v>
                </c:pt>
              </c:strCache>
            </c:strRef>
          </c:tx>
          <c:spPr>
            <a:solidFill>
              <a:schemeClr val="accent1"/>
            </a:solidFill>
            <a:ln w="25400">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графіки!$C$17:$P$17</c:f>
              <c:numCache>
                <c:formatCode>General</c:formatCode>
                <c:ptCount val="14"/>
                <c:pt idx="0">
                  <c:v>2595.5419999999995</c:v>
                </c:pt>
                <c:pt idx="1">
                  <c:v>2577.4699999999998</c:v>
                </c:pt>
                <c:pt idx="2">
                  <c:v>2377.337</c:v>
                </c:pt>
                <c:pt idx="3">
                  <c:v>2452.9650000000001</c:v>
                </c:pt>
                <c:pt idx="4">
                  <c:v>2067.5060000000003</c:v>
                </c:pt>
                <c:pt idx="5">
                  <c:v>2067.5060000000003</c:v>
                </c:pt>
                <c:pt idx="6">
                  <c:v>2067.5060000000003</c:v>
                </c:pt>
              </c:numCache>
            </c:numRef>
          </c:val>
        </c:ser>
        <c:ser>
          <c:idx val="1"/>
          <c:order val="1"/>
          <c:tx>
            <c:strRef>
              <c:f>графіки!$B$18</c:f>
              <c:strCache>
                <c:ptCount val="1"/>
                <c:pt idx="0">
                  <c:v>Прогнозоване споживання</c:v>
                </c:pt>
              </c:strCache>
            </c:strRef>
          </c:tx>
          <c:spPr>
            <a:solidFill>
              <a:schemeClr val="accent2"/>
            </a:solidFill>
            <a:ln w="25400">
              <a:noFill/>
            </a:ln>
            <a:effectLst/>
          </c:spPr>
          <c:cat>
            <c:numRef>
              <c:f>графіки!$C$1:$P$1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графіки!$C$18:$P$18</c:f>
              <c:numCache>
                <c:formatCode>General</c:formatCode>
                <c:ptCount val="14"/>
                <c:pt idx="7" formatCode="#\ ##0.00\ _₴">
                  <c:v>2037.9345000000003</c:v>
                </c:pt>
                <c:pt idx="8" formatCode="#\ ##0.00\ _₴">
                  <c:v>2037.9345000000003</c:v>
                </c:pt>
                <c:pt idx="9" formatCode="#\ ##0.00\ _₴">
                  <c:v>2037.9345000000003</c:v>
                </c:pt>
                <c:pt idx="10" formatCode="#\ ##0.00\ _₴">
                  <c:v>2037.9345000000003</c:v>
                </c:pt>
                <c:pt idx="11" formatCode="#\ ##0.00\ _₴">
                  <c:v>2037.9345000000003</c:v>
                </c:pt>
                <c:pt idx="12" formatCode="#\ ##0.00\ _₴">
                  <c:v>2037.9345000000003</c:v>
                </c:pt>
                <c:pt idx="13" formatCode="#\ ##0.00\ _₴">
                  <c:v>2037.9345000000003</c:v>
                </c:pt>
              </c:numCache>
            </c:numRef>
          </c:val>
        </c:ser>
        <c:dLbls>
          <c:showLegendKey val="0"/>
          <c:showVal val="0"/>
          <c:showCatName val="0"/>
          <c:showSerName val="0"/>
          <c:showPercent val="0"/>
          <c:showBubbleSize val="0"/>
        </c:dLbls>
        <c:axId val="231593472"/>
        <c:axId val="231595392"/>
      </c:areaChart>
      <c:catAx>
        <c:axId val="231593472"/>
        <c:scaling>
          <c:orientation val="minMax"/>
        </c:scaling>
        <c:delete val="0"/>
        <c:axPos val="b"/>
        <c:title>
          <c:tx>
            <c:rich>
              <a:bodyPr rot="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595392"/>
        <c:crosses val="autoZero"/>
        <c:auto val="1"/>
        <c:lblAlgn val="ctr"/>
        <c:lblOffset val="100"/>
        <c:noMultiLvlLbl val="0"/>
      </c:catAx>
      <c:valAx>
        <c:axId val="23159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sz="1000" b="0" i="0" u="none" strike="noStrike">
                    <a:solidFill>
                      <a:sysClr val="windowText" lastClr="000000">
                        <a:lumMod val="65000"/>
                        <a:lumOff val="35000"/>
                      </a:sysClr>
                    </a:solidFill>
                  </a:rPr>
                  <a:t>Споживання енернгії, Мвт*год</a:t>
                </a:r>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5934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Базове!$B$5</c:f>
              <c:strCache>
                <c:ptCount val="1"/>
                <c:pt idx="0">
                  <c:v>Громадські будівлі</c:v>
                </c:pt>
              </c:strCache>
            </c:strRef>
          </c:tx>
          <c:spPr>
            <a:solidFill>
              <a:schemeClr val="accent1"/>
            </a:solidFill>
            <a:ln>
              <a:noFill/>
            </a:ln>
            <a:effectLst/>
          </c:spPr>
          <c:cat>
            <c:numRef>
              <c:f>Базове!$C$4:$P$4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Базове!$C$5:$P$5</c:f>
              <c:numCache>
                <c:formatCode>#\ ##0.0</c:formatCode>
                <c:ptCount val="14"/>
                <c:pt idx="0">
                  <c:v>16261.495998364146</c:v>
                </c:pt>
                <c:pt idx="1">
                  <c:v>19663.154501152894</c:v>
                </c:pt>
                <c:pt idx="2">
                  <c:v>17944.994759401456</c:v>
                </c:pt>
                <c:pt idx="3">
                  <c:v>16496.12085697916</c:v>
                </c:pt>
                <c:pt idx="4">
                  <c:v>21428.599098624647</c:v>
                </c:pt>
                <c:pt idx="5">
                  <c:v>14344.182354999999</c:v>
                </c:pt>
                <c:pt idx="6">
                  <c:v>14344.182354999999</c:v>
                </c:pt>
                <c:pt idx="7" formatCode="0.00">
                  <c:v>13648.524754999999</c:v>
                </c:pt>
                <c:pt idx="8" formatCode="0.00">
                  <c:v>13648.524754999999</c:v>
                </c:pt>
                <c:pt idx="9" formatCode="0.00">
                  <c:v>13648.524754999999</c:v>
                </c:pt>
                <c:pt idx="10" formatCode="0.00">
                  <c:v>13648.524754999999</c:v>
                </c:pt>
                <c:pt idx="11" formatCode="0.00">
                  <c:v>13648.524754999999</c:v>
                </c:pt>
                <c:pt idx="12" formatCode="0.00">
                  <c:v>13648.524754999999</c:v>
                </c:pt>
                <c:pt idx="13" formatCode="0.00">
                  <c:v>13648.524754999999</c:v>
                </c:pt>
              </c:numCache>
            </c:numRef>
          </c:val>
        </c:ser>
        <c:ser>
          <c:idx val="1"/>
          <c:order val="1"/>
          <c:tx>
            <c:strRef>
              <c:f>Базове!$B$6</c:f>
              <c:strCache>
                <c:ptCount val="1"/>
                <c:pt idx="0">
                  <c:v>Житлові будівлі</c:v>
                </c:pt>
              </c:strCache>
            </c:strRef>
          </c:tx>
          <c:spPr>
            <a:solidFill>
              <a:schemeClr val="accent2"/>
            </a:solidFill>
            <a:ln>
              <a:noFill/>
            </a:ln>
            <a:effectLst/>
          </c:spPr>
          <c:cat>
            <c:numRef>
              <c:f>Базове!$C$4:$P$4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Базове!$C$6:$P$6</c:f>
              <c:numCache>
                <c:formatCode>#\ ##0.0</c:formatCode>
                <c:ptCount val="14"/>
                <c:pt idx="0">
                  <c:v>199641.60848591378</c:v>
                </c:pt>
                <c:pt idx="1">
                  <c:v>198648.36665265055</c:v>
                </c:pt>
                <c:pt idx="2">
                  <c:v>197660.06632104533</c:v>
                </c:pt>
                <c:pt idx="3">
                  <c:v>196676.68290651278</c:v>
                </c:pt>
                <c:pt idx="4">
                  <c:v>195698.19194677891</c:v>
                </c:pt>
                <c:pt idx="5">
                  <c:v>194724.56910127256</c:v>
                </c:pt>
                <c:pt idx="6">
                  <c:v>193755.79015051998</c:v>
                </c:pt>
                <c:pt idx="7" formatCode="0.00">
                  <c:v>191818.23224901478</c:v>
                </c:pt>
                <c:pt idx="8" formatCode="0.00">
                  <c:v>189900.04992652463</c:v>
                </c:pt>
                <c:pt idx="9" formatCode="0.00">
                  <c:v>188001.04942725939</c:v>
                </c:pt>
                <c:pt idx="10" formatCode="0.00">
                  <c:v>186121.03893298679</c:v>
                </c:pt>
                <c:pt idx="11" formatCode="0.00">
                  <c:v>184259.82854365691</c:v>
                </c:pt>
                <c:pt idx="12" formatCode="0.00">
                  <c:v>182417.23025822034</c:v>
                </c:pt>
                <c:pt idx="13" formatCode="0.00">
                  <c:v>180593.05795563813</c:v>
                </c:pt>
              </c:numCache>
            </c:numRef>
          </c:val>
        </c:ser>
        <c:ser>
          <c:idx val="2"/>
          <c:order val="2"/>
          <c:tx>
            <c:strRef>
              <c:f>Базове!$B$7</c:f>
              <c:strCache>
                <c:ptCount val="1"/>
                <c:pt idx="0">
                  <c:v>Сфера теплопостачання</c:v>
                </c:pt>
              </c:strCache>
            </c:strRef>
          </c:tx>
          <c:spPr>
            <a:solidFill>
              <a:schemeClr val="accent3"/>
            </a:solidFill>
            <a:ln>
              <a:noFill/>
            </a:ln>
            <a:effectLst/>
          </c:spPr>
          <c:cat>
            <c:numRef>
              <c:f>Базове!$C$4:$P$4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Базове!$C$7:$P$7</c:f>
              <c:numCache>
                <c:formatCode>General</c:formatCode>
                <c:ptCount val="14"/>
                <c:pt idx="0">
                  <c:v>179.13695999999999</c:v>
                </c:pt>
                <c:pt idx="1">
                  <c:v>211.49664999999999</c:v>
                </c:pt>
                <c:pt idx="2">
                  <c:v>200.87598300000002</c:v>
                </c:pt>
                <c:pt idx="3">
                  <c:v>178.169105</c:v>
                </c:pt>
                <c:pt idx="4">
                  <c:v>224.75633800000003</c:v>
                </c:pt>
                <c:pt idx="5">
                  <c:v>177.94191000000001</c:v>
                </c:pt>
                <c:pt idx="7" formatCode="0.00">
                  <c:v>177</c:v>
                </c:pt>
                <c:pt idx="8" formatCode="0.00">
                  <c:v>177</c:v>
                </c:pt>
                <c:pt idx="9" formatCode="0.00">
                  <c:v>177</c:v>
                </c:pt>
                <c:pt idx="10" formatCode="0.00">
                  <c:v>177</c:v>
                </c:pt>
                <c:pt idx="11" formatCode="0.00">
                  <c:v>177</c:v>
                </c:pt>
                <c:pt idx="12" formatCode="0.00">
                  <c:v>177</c:v>
                </c:pt>
                <c:pt idx="13" formatCode="0.00">
                  <c:v>177</c:v>
                </c:pt>
              </c:numCache>
            </c:numRef>
          </c:val>
        </c:ser>
        <c:ser>
          <c:idx val="3"/>
          <c:order val="3"/>
          <c:tx>
            <c:strRef>
              <c:f>Базове!$B$8</c:f>
              <c:strCache>
                <c:ptCount val="1"/>
                <c:pt idx="0">
                  <c:v>Сфера водопостачання і водовідведення</c:v>
                </c:pt>
              </c:strCache>
            </c:strRef>
          </c:tx>
          <c:spPr>
            <a:solidFill>
              <a:schemeClr val="accent4"/>
            </a:solidFill>
            <a:ln>
              <a:noFill/>
            </a:ln>
            <a:effectLst/>
          </c:spPr>
          <c:cat>
            <c:numRef>
              <c:f>Базове!$C$4:$P$4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Базове!$C$8:$P$8</c:f>
              <c:numCache>
                <c:formatCode>General</c:formatCode>
                <c:ptCount val="14"/>
                <c:pt idx="0">
                  <c:v>326.7</c:v>
                </c:pt>
                <c:pt idx="1">
                  <c:v>311.60000000000002</c:v>
                </c:pt>
                <c:pt idx="2">
                  <c:v>331.7</c:v>
                </c:pt>
                <c:pt idx="3">
                  <c:v>266.7</c:v>
                </c:pt>
                <c:pt idx="4">
                  <c:v>293.16999999999996</c:v>
                </c:pt>
                <c:pt idx="5">
                  <c:v>275.10000000000002</c:v>
                </c:pt>
                <c:pt idx="6">
                  <c:v>275.10000000000002</c:v>
                </c:pt>
                <c:pt idx="7" formatCode="0.00">
                  <c:v>272.34900000000005</c:v>
                </c:pt>
                <c:pt idx="8" formatCode="0.00">
                  <c:v>269.62551000000002</c:v>
                </c:pt>
                <c:pt idx="9" formatCode="0.00">
                  <c:v>266.92925489999999</c:v>
                </c:pt>
                <c:pt idx="10" formatCode="0.00">
                  <c:v>264.25996235100001</c:v>
                </c:pt>
                <c:pt idx="11" formatCode="0.00">
                  <c:v>261.61736272748999</c:v>
                </c:pt>
                <c:pt idx="12" formatCode="0.00">
                  <c:v>259.00118910021507</c:v>
                </c:pt>
                <c:pt idx="13" formatCode="0.00">
                  <c:v>256.41117720921289</c:v>
                </c:pt>
              </c:numCache>
            </c:numRef>
          </c:val>
        </c:ser>
        <c:ser>
          <c:idx val="4"/>
          <c:order val="4"/>
          <c:tx>
            <c:strRef>
              <c:f>Базове!$B$9</c:f>
              <c:strCache>
                <c:ptCount val="1"/>
                <c:pt idx="0">
                  <c:v>Сфера управління побутовими відходами</c:v>
                </c:pt>
              </c:strCache>
            </c:strRef>
          </c:tx>
          <c:spPr>
            <a:solidFill>
              <a:schemeClr val="accent5"/>
            </a:solidFill>
            <a:ln>
              <a:noFill/>
            </a:ln>
            <a:effectLst/>
          </c:spPr>
          <c:cat>
            <c:numRef>
              <c:f>Базове!$C$4:$P$4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Базове!$C$9:$P$9</c:f>
              <c:numCache>
                <c:formatCode>General</c:formatCode>
                <c:ptCount val="14"/>
                <c:pt idx="0">
                  <c:v>278.91999999999996</c:v>
                </c:pt>
                <c:pt idx="1">
                  <c:v>280.94</c:v>
                </c:pt>
                <c:pt idx="2">
                  <c:v>276.42</c:v>
                </c:pt>
                <c:pt idx="3">
                  <c:v>264.28099999999995</c:v>
                </c:pt>
                <c:pt idx="4">
                  <c:v>271.71100000000001</c:v>
                </c:pt>
                <c:pt idx="5">
                  <c:v>231.07999999999998</c:v>
                </c:pt>
                <c:pt idx="6" formatCode="0.00">
                  <c:v>267.22533333333331</c:v>
                </c:pt>
                <c:pt idx="7" formatCode="0.00">
                  <c:v>267.22533333333331</c:v>
                </c:pt>
                <c:pt idx="8" formatCode="0.00">
                  <c:v>267.22533333333331</c:v>
                </c:pt>
                <c:pt idx="9" formatCode="0.00">
                  <c:v>267.22533333333331</c:v>
                </c:pt>
                <c:pt idx="10" formatCode="0.00">
                  <c:v>267.22533333333331</c:v>
                </c:pt>
                <c:pt idx="11" formatCode="0.00">
                  <c:v>267.22533333333331</c:v>
                </c:pt>
                <c:pt idx="12" formatCode="0.00">
                  <c:v>267.22533333333331</c:v>
                </c:pt>
                <c:pt idx="13" formatCode="0.00">
                  <c:v>267.22533333333331</c:v>
                </c:pt>
              </c:numCache>
            </c:numRef>
          </c:val>
        </c:ser>
        <c:ser>
          <c:idx val="6"/>
          <c:order val="5"/>
          <c:tx>
            <c:strRef>
              <c:f>Базове!$B$11</c:f>
              <c:strCache>
                <c:ptCount val="1"/>
                <c:pt idx="0">
                  <c:v>Громадський транспорт</c:v>
                </c:pt>
              </c:strCache>
            </c:strRef>
          </c:tx>
          <c:spPr>
            <a:solidFill>
              <a:schemeClr val="accent1">
                <a:lumMod val="60000"/>
              </a:schemeClr>
            </a:solidFill>
            <a:ln>
              <a:noFill/>
            </a:ln>
            <a:effectLst/>
          </c:spPr>
          <c:cat>
            <c:numRef>
              <c:f>Базове!$C$4:$P$4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Базове!$C$11:$P$11</c:f>
              <c:numCache>
                <c:formatCode>General</c:formatCode>
                <c:ptCount val="14"/>
                <c:pt idx="0">
                  <c:v>2595.5419999999995</c:v>
                </c:pt>
                <c:pt idx="1">
                  <c:v>2577.4699999999998</c:v>
                </c:pt>
                <c:pt idx="2">
                  <c:v>2377.337</c:v>
                </c:pt>
                <c:pt idx="3">
                  <c:v>2452.9650000000001</c:v>
                </c:pt>
                <c:pt idx="4">
                  <c:v>2067.5060000000003</c:v>
                </c:pt>
                <c:pt idx="5">
                  <c:v>2008.3630000000003</c:v>
                </c:pt>
                <c:pt idx="6">
                  <c:v>2037.9345000000003</c:v>
                </c:pt>
                <c:pt idx="7" formatCode="0.00">
                  <c:v>2037.9345000000003</c:v>
                </c:pt>
                <c:pt idx="8" formatCode="0.00">
                  <c:v>2037.9345000000003</c:v>
                </c:pt>
                <c:pt idx="9" formatCode="0.00">
                  <c:v>2037.9345000000003</c:v>
                </c:pt>
                <c:pt idx="10" formatCode="0.00">
                  <c:v>2037.9345000000003</c:v>
                </c:pt>
                <c:pt idx="11" formatCode="0.00">
                  <c:v>2037.9345000000003</c:v>
                </c:pt>
                <c:pt idx="12" formatCode="0.00">
                  <c:v>2037.9345000000003</c:v>
                </c:pt>
                <c:pt idx="13" formatCode="0.00">
                  <c:v>2037.9345000000003</c:v>
                </c:pt>
              </c:numCache>
            </c:numRef>
          </c:val>
        </c:ser>
        <c:dLbls>
          <c:showLegendKey val="0"/>
          <c:showVal val="0"/>
          <c:showCatName val="0"/>
          <c:showSerName val="0"/>
          <c:showPercent val="0"/>
          <c:showBubbleSize val="0"/>
        </c:dLbls>
        <c:axId val="231685504"/>
        <c:axId val="231691776"/>
      </c:areaChart>
      <c:catAx>
        <c:axId val="231685504"/>
        <c:scaling>
          <c:orientation val="minMax"/>
        </c:scaling>
        <c:delete val="0"/>
        <c:axPos val="b"/>
        <c:title>
          <c:tx>
            <c:rich>
              <a:bodyPr rot="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691776"/>
        <c:crosses val="autoZero"/>
        <c:auto val="1"/>
        <c:lblAlgn val="ctr"/>
        <c:lblOffset val="100"/>
        <c:noMultiLvlLbl val="0"/>
      </c:catAx>
      <c:valAx>
        <c:axId val="23169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a:solidFill>
                      <a:schemeClr val="tx1">
                        <a:lumMod val="65000"/>
                        <a:lumOff val="35000"/>
                      </a:schemeClr>
                    </a:solidFill>
                    <a:latin typeface="+mn-lt"/>
                    <a:ea typeface="+mn-ea"/>
                    <a:cs typeface="+mn-cs"/>
                  </a:defRPr>
                </a:pPr>
                <a:r>
                  <a:rPr lang="ru-RU"/>
                  <a:t>Мвт*год</a:t>
                </a:r>
                <a:endParaRPr/>
              </a:p>
            </c:rich>
          </c:tx>
          <c:overlay val="0"/>
          <c:spPr>
            <a:noFill/>
            <a:ln>
              <a:noFill/>
            </a:ln>
            <a:effectLst/>
          </c:sp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316855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2"/>
      <c:rAngAx val="0"/>
      <c:perspective val="3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pie3DChart>
        <c:varyColors val="1"/>
        <c:ser>
          <c:idx val="0"/>
          <c:order val="0"/>
          <c:tx>
            <c:strRef>
              <c:f>label 0</c:f>
              <c:strCache>
                <c:ptCount val="1"/>
                <c:pt idx="0">
                  <c:v>Серія1</c:v>
                </c:pt>
              </c:strCache>
            </c:strRef>
          </c:tx>
          <c:spPr>
            <a:solidFill>
              <a:srgbClr val="4472C4"/>
            </a:solidFill>
            <a:ln w="0">
              <a:noFill/>
            </a:ln>
          </c:spPr>
          <c:explosion val="24"/>
          <c:dPt>
            <c:idx val="0"/>
            <c:bubble3D val="0"/>
            <c:spPr>
              <a:solidFill>
                <a:srgbClr val="4472C4"/>
              </a:solidFill>
              <a:ln w="25560">
                <a:solidFill>
                  <a:srgbClr val="FFFFFF"/>
                </a:solidFill>
                <a:round/>
              </a:ln>
            </c:spPr>
          </c:dPt>
          <c:dPt>
            <c:idx val="1"/>
            <c:bubble3D val="0"/>
            <c:spPr>
              <a:solidFill>
                <a:srgbClr val="ED7D31"/>
              </a:solidFill>
              <a:ln w="25560">
                <a:solidFill>
                  <a:srgbClr val="FFFFFF"/>
                </a:solidFill>
                <a:round/>
              </a:ln>
            </c:spPr>
          </c:dPt>
          <c:dPt>
            <c:idx val="2"/>
            <c:bubble3D val="0"/>
            <c:spPr>
              <a:solidFill>
                <a:srgbClr val="A5A5A5"/>
              </a:solidFill>
              <a:ln w="25560">
                <a:solidFill>
                  <a:srgbClr val="FFFFFF"/>
                </a:solidFill>
                <a:round/>
              </a:ln>
            </c:spPr>
          </c:dPt>
          <c:dPt>
            <c:idx val="3"/>
            <c:bubble3D val="0"/>
            <c:spPr>
              <a:solidFill>
                <a:srgbClr val="FFC000"/>
              </a:solidFill>
              <a:ln w="25560">
                <a:solidFill>
                  <a:srgbClr val="FFFFFF"/>
                </a:solidFill>
                <a:round/>
              </a:ln>
            </c:spPr>
          </c:dPt>
          <c:dPt>
            <c:idx val="4"/>
            <c:bubble3D val="0"/>
            <c:spPr>
              <a:solidFill>
                <a:srgbClr val="5B9BD5"/>
              </a:solidFill>
              <a:ln w="25560">
                <a:solidFill>
                  <a:srgbClr val="FFFFFF"/>
                </a:solidFill>
                <a:round/>
              </a:ln>
            </c:spPr>
          </c:dPt>
          <c:dPt>
            <c:idx val="5"/>
            <c:bubble3D val="0"/>
            <c:spPr>
              <a:solidFill>
                <a:srgbClr val="70AD47"/>
              </a:solidFill>
              <a:ln w="25560">
                <a:solidFill>
                  <a:srgbClr val="FFFFFF"/>
                </a:solidFill>
                <a:round/>
              </a:ln>
            </c:spPr>
          </c:dPt>
          <c:dPt>
            <c:idx val="6"/>
            <c:bubble3D val="0"/>
            <c:spPr>
              <a:solidFill>
                <a:srgbClr val="264478"/>
              </a:solidFill>
              <a:ln w="25560">
                <a:solidFill>
                  <a:srgbClr val="FFFFFF"/>
                </a:solidFill>
                <a:round/>
              </a:ln>
            </c:spPr>
          </c:dPt>
          <c:dLbls>
            <c:dLbl>
              <c:idx val="0"/>
              <c:layout>
                <c:manualLayout>
                  <c:x val="-0.15241049708254892"/>
                  <c:y val="4.8076465634739426E-2"/>
                </c:manualLayout>
              </c:layout>
              <c:spPr/>
              <c:txPr>
                <a:bodyPr wrap="square"/>
                <a:lstStyle/>
                <a:p>
                  <a:pPr>
                    <a:defRPr sz="900" b="0" strike="noStrike" spc="-1">
                      <a:solidFill>
                        <a:srgbClr val="404040"/>
                      </a:solidFill>
                      <a:latin typeface="Calibri"/>
                    </a:defRPr>
                  </a:pPr>
                  <a:endParaRPr lang="ru-RU"/>
                </a:p>
              </c:txPr>
              <c:dLblPos val="bestFit"/>
              <c:showLegendKey val="1"/>
              <c:showVal val="0"/>
              <c:showCatName val="0"/>
              <c:showSerName val="0"/>
              <c:showPercent val="1"/>
              <c:showBubbleSize val="1"/>
            </c:dLbl>
            <c:dLbl>
              <c:idx val="1"/>
              <c:layout>
                <c:manualLayout>
                  <c:x val="5.4119852094814151E-3"/>
                  <c:y val="-2.5886152323572564E-2"/>
                </c:manualLayout>
              </c:layout>
              <c:spPr/>
              <c:txPr>
                <a:bodyPr wrap="square"/>
                <a:lstStyle/>
                <a:p>
                  <a:pPr>
                    <a:defRPr sz="900" b="0" strike="noStrike" spc="-1">
                      <a:solidFill>
                        <a:srgbClr val="404040"/>
                      </a:solidFill>
                      <a:latin typeface="Calibri"/>
                    </a:defRPr>
                  </a:pPr>
                  <a:endParaRPr lang="ru-RU"/>
                </a:p>
              </c:txPr>
              <c:dLblPos val="bestFit"/>
              <c:showLegendKey val="1"/>
              <c:showVal val="0"/>
              <c:showCatName val="0"/>
              <c:showSerName val="0"/>
              <c:showPercent val="1"/>
              <c:showBubbleSize val="1"/>
            </c:dLbl>
            <c:dLbl>
              <c:idx val="2"/>
              <c:layout>
                <c:manualLayout>
                  <c:x val="7.9060933565827995E-2"/>
                  <c:y val="2.6156317009436665E-2"/>
                </c:manualLayout>
              </c:layout>
              <c:spPr/>
              <c:txPr>
                <a:bodyPr wrap="square"/>
                <a:lstStyle/>
                <a:p>
                  <a:pPr>
                    <a:defRPr sz="900" b="0" strike="noStrike" spc="-1">
                      <a:solidFill>
                        <a:srgbClr val="404040"/>
                      </a:solidFill>
                      <a:latin typeface="Calibri"/>
                    </a:defRPr>
                  </a:pPr>
                  <a:endParaRPr lang="ru-RU"/>
                </a:p>
              </c:txPr>
              <c:dLblPos val="bestFit"/>
              <c:showLegendKey val="1"/>
              <c:showVal val="0"/>
              <c:showCatName val="0"/>
              <c:showSerName val="0"/>
              <c:showPercent val="1"/>
              <c:showBubbleSize val="1"/>
            </c:dLbl>
            <c:dLbl>
              <c:idx val="3"/>
              <c:layout>
                <c:manualLayout>
                  <c:x val="7.5073642373557833E-2"/>
                  <c:y val="0.11249060240127096"/>
                </c:manualLayout>
              </c:layout>
              <c:spPr/>
              <c:txPr>
                <a:bodyPr wrap="square"/>
                <a:lstStyle/>
                <a:p>
                  <a:pPr>
                    <a:defRPr sz="900" b="0" strike="noStrike" spc="-1">
                      <a:solidFill>
                        <a:srgbClr val="404040"/>
                      </a:solidFill>
                      <a:latin typeface="Calibri"/>
                    </a:defRPr>
                  </a:pPr>
                  <a:endParaRPr lang="ru-RU"/>
                </a:p>
              </c:txPr>
              <c:dLblPos val="bestFit"/>
              <c:showLegendKey val="1"/>
              <c:showVal val="0"/>
              <c:showCatName val="0"/>
              <c:showSerName val="0"/>
              <c:showPercent val="1"/>
              <c:showBubbleSize val="1"/>
            </c:dLbl>
            <c:dLbl>
              <c:idx val="4"/>
              <c:layout>
                <c:manualLayout>
                  <c:x val="3.7133721215578384E-4"/>
                  <c:y val="0.11800328156334355"/>
                </c:manualLayout>
              </c:layout>
              <c:spPr/>
              <c:txPr>
                <a:bodyPr wrap="square"/>
                <a:lstStyle/>
                <a:p>
                  <a:pPr>
                    <a:defRPr sz="900" b="0" strike="noStrike" spc="-1">
                      <a:solidFill>
                        <a:srgbClr val="404040"/>
                      </a:solidFill>
                      <a:latin typeface="Calibri"/>
                    </a:defRPr>
                  </a:pPr>
                  <a:endParaRPr lang="ru-RU"/>
                </a:p>
              </c:txPr>
              <c:dLblPos val="bestFit"/>
              <c:showLegendKey val="1"/>
              <c:showVal val="0"/>
              <c:showCatName val="0"/>
              <c:showSerName val="0"/>
              <c:showPercent val="1"/>
              <c:showBubbleSize val="1"/>
            </c:dLbl>
            <c:dLbl>
              <c:idx val="5"/>
              <c:layout>
                <c:manualLayout>
                  <c:x val="-0.1278142684240208"/>
                  <c:y val="0.11249060240127079"/>
                </c:manualLayout>
              </c:layout>
              <c:spPr/>
              <c:txPr>
                <a:bodyPr wrap="square"/>
                <a:lstStyle/>
                <a:p>
                  <a:pPr>
                    <a:defRPr sz="900" b="0" strike="noStrike" spc="-1">
                      <a:solidFill>
                        <a:srgbClr val="404040"/>
                      </a:solidFill>
                      <a:latin typeface="Calibri"/>
                    </a:defRPr>
                  </a:pPr>
                  <a:endParaRPr lang="ru-RU"/>
                </a:p>
              </c:txPr>
              <c:dLblPos val="bestFit"/>
              <c:showLegendKey val="1"/>
              <c:showVal val="0"/>
              <c:showCatName val="0"/>
              <c:showSerName val="0"/>
              <c:showPercent val="1"/>
              <c:showBubbleSize val="1"/>
            </c:dLbl>
            <c:dLbl>
              <c:idx val="6"/>
              <c:layout>
                <c:manualLayout>
                  <c:x val="-0.21427675827243928"/>
                  <c:y val="0.11249060240127096"/>
                </c:manualLayout>
              </c:layout>
              <c:spPr/>
              <c:txPr>
                <a:bodyPr wrap="square"/>
                <a:lstStyle/>
                <a:p>
                  <a:pPr>
                    <a:defRPr sz="900" b="0" strike="noStrike" spc="-1">
                      <a:solidFill>
                        <a:srgbClr val="404040"/>
                      </a:solidFill>
                      <a:latin typeface="Calibri"/>
                    </a:defRPr>
                  </a:pPr>
                  <a:endParaRPr lang="ru-RU"/>
                </a:p>
              </c:txPr>
              <c:dLblPos val="bestFit"/>
              <c:showLegendKey val="1"/>
              <c:showVal val="0"/>
              <c:showCatName val="0"/>
              <c:showSerName val="0"/>
              <c:showPercent val="1"/>
              <c:showBubbleSize val="1"/>
            </c:dLbl>
            <c:spPr>
              <a:noFill/>
              <a:ln>
                <a:noFill/>
              </a:ln>
              <a:effectLst/>
            </c:spPr>
            <c:txPr>
              <a:bodyPr wrap="square"/>
              <a:lstStyle/>
              <a:p>
                <a:pPr>
                  <a:defRPr sz="900" b="0" strike="noStrike" spc="-1">
                    <a:solidFill>
                      <a:srgbClr val="404040"/>
                    </a:solidFill>
                    <a:latin typeface="Calibri"/>
                  </a:defRPr>
                </a:pPr>
                <a:endParaRPr lang="ru-RU"/>
              </a:p>
            </c:txPr>
            <c:dLblPos val="bestFit"/>
            <c:showLegendKey val="1"/>
            <c:showVal val="0"/>
            <c:showCatName val="0"/>
            <c:showSerName val="0"/>
            <c:showPercent val="1"/>
            <c:showBubbleSize val="1"/>
            <c:separator>
</c:separator>
            <c:showLeaderLines val="1"/>
          </c:dLbls>
          <c:cat>
            <c:strRef>
              <c:f>categories</c:f>
              <c:strCache>
                <c:ptCount val="7"/>
                <c:pt idx="0">
                  <c:v>громадські будівлі</c:v>
                </c:pt>
                <c:pt idx="1">
                  <c:v>житлові будівлі</c:v>
                </c:pt>
                <c:pt idx="2">
                  <c:v>сфера теплопостачання</c:v>
                </c:pt>
                <c:pt idx="3">
                  <c:v>сфера водопостачання і водовідведення</c:v>
                </c:pt>
                <c:pt idx="4">
                  <c:v>сфера управління побутовими відходами</c:v>
                </c:pt>
                <c:pt idx="5">
                  <c:v>зовнішнє освітлення</c:v>
                </c:pt>
                <c:pt idx="6">
                  <c:v>громадський транспорт </c:v>
                </c:pt>
              </c:strCache>
            </c:strRef>
          </c:cat>
          <c:val>
            <c:numRef>
              <c:f>0</c:f>
              <c:numCache>
                <c:formatCode>General</c:formatCode>
                <c:ptCount val="7"/>
                <c:pt idx="0">
                  <c:v>18104.31854</c:v>
                </c:pt>
                <c:pt idx="1">
                  <c:v>259082.995566973</c:v>
                </c:pt>
                <c:pt idx="2">
                  <c:v>4116.1000000000004</c:v>
                </c:pt>
                <c:pt idx="3">
                  <c:v>2632.2</c:v>
                </c:pt>
                <c:pt idx="4">
                  <c:v>553.70000000000005</c:v>
                </c:pt>
                <c:pt idx="5">
                  <c:v>393.8</c:v>
                </c:pt>
                <c:pt idx="6">
                  <c:v>3864.18</c:v>
                </c:pt>
              </c:numCache>
            </c:numRef>
          </c:val>
        </c:ser>
        <c:dLbls>
          <c:showLegendKey val="0"/>
          <c:showVal val="0"/>
          <c:showCatName val="0"/>
          <c:showSerName val="0"/>
          <c:showPercent val="0"/>
          <c:showBubbleSize val="0"/>
          <c:showLeaderLines val="1"/>
        </c:dLbls>
      </c:pie3DChart>
    </c:plotArea>
    <c:legend>
      <c:legendPos val="r"/>
      <c:overlay val="0"/>
      <c:spPr>
        <a:noFill/>
        <a:ln w="0">
          <a:noFill/>
        </a:ln>
      </c:spPr>
      <c:txPr>
        <a:bodyPr/>
        <a:lstStyle/>
        <a:p>
          <a:pPr>
            <a:defRPr sz="900" b="0" strike="noStrike" spc="-1">
              <a:solidFill>
                <a:srgbClr val="595959"/>
              </a:solidFill>
              <a:latin typeface="Calibri"/>
            </a:defRPr>
          </a:pPr>
          <a:endParaRPr lang="ru-RU"/>
        </a:p>
      </c:txPr>
    </c:legend>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Бензин</c:v>
                </c:pt>
              </c:strCache>
            </c:strRef>
          </c:tx>
          <c:spPr>
            <a:gradFill>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50000"/>
                        <a:lumOff val="50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5.9</c:v>
                </c:pt>
                <c:pt idx="1">
                  <c:v>5.8</c:v>
                </c:pt>
                <c:pt idx="2">
                  <c:v>5.9</c:v>
                </c:pt>
                <c:pt idx="3">
                  <c:v>6.1</c:v>
                </c:pt>
                <c:pt idx="4">
                  <c:v>20.100000000000001</c:v>
                </c:pt>
                <c:pt idx="5">
                  <c:v>9.1</c:v>
                </c:pt>
              </c:numCache>
            </c:numRef>
          </c:val>
        </c:ser>
        <c:ser>
          <c:idx val="1"/>
          <c:order val="1"/>
          <c:tx>
            <c:strRef>
              <c:f>label 1</c:f>
              <c:strCache>
                <c:ptCount val="1"/>
                <c:pt idx="0">
                  <c:v>Дизель</c:v>
                </c:pt>
              </c:strCache>
            </c:strRef>
          </c:tx>
          <c:spPr>
            <a:gradFill>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50000"/>
                        <a:lumOff val="50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1855.94</c:v>
                </c:pt>
                <c:pt idx="1">
                  <c:v>2179.71</c:v>
                </c:pt>
                <c:pt idx="2">
                  <c:v>2207.4899999999998</c:v>
                </c:pt>
                <c:pt idx="3">
                  <c:v>1739.62</c:v>
                </c:pt>
                <c:pt idx="4">
                  <c:v>5247.68</c:v>
                </c:pt>
                <c:pt idx="5">
                  <c:v>4399.68</c:v>
                </c:pt>
              </c:numCache>
            </c:numRef>
          </c:val>
        </c:ser>
        <c:ser>
          <c:idx val="2"/>
          <c:order val="2"/>
          <c:tx>
            <c:strRef>
              <c:f>label 2</c:f>
              <c:strCache>
                <c:ptCount val="1"/>
                <c:pt idx="0">
                  <c:v>Скраплений (зріджений) газ</c:v>
                </c:pt>
              </c:strCache>
            </c:strRef>
          </c:tx>
          <c:spPr>
            <a:gradFill>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50000"/>
                        <a:lumOff val="50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2</c:f>
              <c:numCache>
                <c:formatCode>General</c:formatCode>
                <c:ptCount val="6"/>
                <c:pt idx="0">
                  <c:v>1566.85</c:v>
                </c:pt>
                <c:pt idx="1">
                  <c:v>1821.01</c:v>
                </c:pt>
                <c:pt idx="2">
                  <c:v>1703.91</c:v>
                </c:pt>
                <c:pt idx="3">
                  <c:v>1501.95</c:v>
                </c:pt>
                <c:pt idx="4">
                  <c:v>64.599999999999994</c:v>
                </c:pt>
                <c:pt idx="5">
                  <c:v>9.1</c:v>
                </c:pt>
              </c:numCache>
            </c:numRef>
          </c:val>
        </c:ser>
        <c:ser>
          <c:idx val="3"/>
          <c:order val="3"/>
          <c:tx>
            <c:strRef>
              <c:f>label 3</c:f>
              <c:strCache>
                <c:ptCount val="1"/>
                <c:pt idx="0">
                  <c:v> Електрична енергія</c:v>
                </c:pt>
              </c:strCache>
            </c:strRef>
          </c:tx>
          <c:spPr>
            <a:gradFill>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50000"/>
                        <a:lumOff val="50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3</c:f>
              <c:numCache>
                <c:formatCode>General</c:formatCode>
                <c:ptCount val="6"/>
                <c:pt idx="0">
                  <c:v>23875.227079038599</c:v>
                </c:pt>
                <c:pt idx="1">
                  <c:v>24302.861418515698</c:v>
                </c:pt>
                <c:pt idx="2">
                  <c:v>22782.206052442001</c:v>
                </c:pt>
                <c:pt idx="3">
                  <c:v>23957.356662019502</c:v>
                </c:pt>
                <c:pt idx="4">
                  <c:v>33329.990954160698</c:v>
                </c:pt>
                <c:pt idx="5">
                  <c:v>41941.611171408898</c:v>
                </c:pt>
              </c:numCache>
            </c:numRef>
          </c:val>
        </c:ser>
        <c:ser>
          <c:idx val="4"/>
          <c:order val="4"/>
          <c:tx>
            <c:strRef>
              <c:f>label 4</c:f>
              <c:strCache>
                <c:ptCount val="1"/>
                <c:pt idx="0">
                  <c:v>Теплова енергія</c:v>
                </c:pt>
              </c:strCache>
            </c:strRef>
          </c:tx>
          <c:spPr>
            <a:gradFill>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50000"/>
                        <a:lumOff val="50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4</c:f>
              <c:numCache>
                <c:formatCode>General</c:formatCode>
                <c:ptCount val="6"/>
                <c:pt idx="0">
                  <c:v>5269.6276733333298</c:v>
                </c:pt>
                <c:pt idx="1">
                  <c:v>8031.6847399999997</c:v>
                </c:pt>
                <c:pt idx="2">
                  <c:v>7259.8612400000002</c:v>
                </c:pt>
                <c:pt idx="3">
                  <c:v>7546.33125666667</c:v>
                </c:pt>
                <c:pt idx="4">
                  <c:v>12146.4066766667</c:v>
                </c:pt>
                <c:pt idx="5">
                  <c:v>14207.9115966667</c:v>
                </c:pt>
              </c:numCache>
            </c:numRef>
          </c:val>
        </c:ser>
        <c:ser>
          <c:idx val="5"/>
          <c:order val="5"/>
          <c:tx>
            <c:strRef>
              <c:f>label 5</c:f>
              <c:strCache>
                <c:ptCount val="1"/>
                <c:pt idx="0">
                  <c:v>Дрова </c:v>
                </c:pt>
              </c:strCache>
            </c:strRef>
          </c:tx>
          <c:spPr>
            <a:gradFill>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50000"/>
                        <a:lumOff val="50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5</c:f>
              <c:numCache>
                <c:formatCode>General</c:formatCode>
                <c:ptCount val="6"/>
                <c:pt idx="0">
                  <c:v>86822.436162127706</c:v>
                </c:pt>
                <c:pt idx="1">
                  <c:v>87983.485124032595</c:v>
                </c:pt>
                <c:pt idx="2">
                  <c:v>88073.896085937406</c:v>
                </c:pt>
                <c:pt idx="3">
                  <c:v>87311.203047842297</c:v>
                </c:pt>
                <c:pt idx="4">
                  <c:v>87788.052009747204</c:v>
                </c:pt>
                <c:pt idx="5">
                  <c:v>88555.376971652106</c:v>
                </c:pt>
              </c:numCache>
            </c:numRef>
          </c:val>
        </c:ser>
        <c:ser>
          <c:idx val="6"/>
          <c:order val="6"/>
          <c:tx>
            <c:strRef>
              <c:f>label 6</c:f>
              <c:strCache>
                <c:ptCount val="1"/>
                <c:pt idx="0">
                  <c:v>Природний газ</c:v>
                </c:pt>
              </c:strCache>
            </c:strRef>
          </c:tx>
          <c:spPr>
            <a:gradFill>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50000"/>
                        <a:lumOff val="50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6</c:f>
              <c:numCache>
                <c:formatCode>General</c:formatCode>
                <c:ptCount val="6"/>
                <c:pt idx="0">
                  <c:v>61047.8898221243</c:v>
                </c:pt>
                <c:pt idx="1">
                  <c:v>86027.785980936096</c:v>
                </c:pt>
                <c:pt idx="2">
                  <c:v>83302.091984898405</c:v>
                </c:pt>
                <c:pt idx="3">
                  <c:v>79563.489549245904</c:v>
                </c:pt>
                <c:pt idx="4">
                  <c:v>126208.49404031099</c:v>
                </c:pt>
                <c:pt idx="5">
                  <c:v>137969.72982724599</c:v>
                </c:pt>
              </c:numCache>
            </c:numRef>
          </c:val>
        </c:ser>
        <c:ser>
          <c:idx val="7"/>
          <c:order val="7"/>
          <c:tx>
            <c:strRef>
              <c:f>label 7</c:f>
              <c:strCache>
                <c:ptCount val="1"/>
                <c:pt idx="0">
                  <c:v>Торфобрикет</c:v>
                </c:pt>
              </c:strCache>
            </c:strRef>
          </c:tx>
          <c:spPr>
            <a:gradFill>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50000"/>
                        <a:lumOff val="50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7</c:f>
              <c:numCache>
                <c:formatCode>General</c:formatCode>
                <c:ptCount val="6"/>
                <c:pt idx="0">
                  <c:v>62.1</c:v>
                </c:pt>
                <c:pt idx="1">
                  <c:v>67.900000000000006</c:v>
                </c:pt>
                <c:pt idx="2">
                  <c:v>88.072000000000003</c:v>
                </c:pt>
                <c:pt idx="3">
                  <c:v>48.66</c:v>
                </c:pt>
                <c:pt idx="4">
                  <c:v>94.92</c:v>
                </c:pt>
                <c:pt idx="5">
                  <c:v>52.634</c:v>
                </c:pt>
              </c:numCache>
            </c:numRef>
          </c:val>
        </c:ser>
        <c:dLbls>
          <c:showLegendKey val="0"/>
          <c:showVal val="0"/>
          <c:showCatName val="0"/>
          <c:showSerName val="0"/>
          <c:showPercent val="0"/>
          <c:showBubbleSize val="0"/>
        </c:dLbls>
        <c:axId val="228611200"/>
        <c:axId val="228613120"/>
      </c:areaChart>
      <c:catAx>
        <c:axId val="228611200"/>
        <c:scaling>
          <c:orientation val="minMax"/>
        </c:scaling>
        <c:delete val="0"/>
        <c:axPos val="b"/>
        <c:title>
          <c:tx>
            <c:rich>
              <a:bodyPr rot="0" spcFirstLastPara="1" vertOverflow="ellipsis" vert="horz" wrap="square" anchor="ctr" anchorCtr="1"/>
              <a:lstStyle/>
              <a:p>
                <a:pPr>
                  <a:defRPr sz="900" b="0" i="0" u="none" strike="noStrike" cap="all">
                    <a:solidFill>
                      <a:schemeClr val="tx1">
                        <a:lumMod val="50000"/>
                        <a:lumOff val="50000"/>
                      </a:schemeClr>
                    </a:solidFill>
                    <a:latin typeface="+mn-lt"/>
                    <a:ea typeface="+mn-ea"/>
                    <a:cs typeface="+mn-cs"/>
                  </a:defRPr>
                </a:pPr>
                <a:r>
                  <a:rPr lang="ru-RU"/>
                  <a:t>Рік</a:t>
                </a:r>
                <a:endParaRPr/>
              </a:p>
            </c:rich>
          </c:tx>
          <c:overlay val="0"/>
          <c:spPr>
            <a:noFill/>
            <a:ln>
              <a:noFill/>
            </a:ln>
            <a:effectLst/>
          </c:spPr>
        </c:title>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50000"/>
                    <a:lumOff val="50000"/>
                  </a:schemeClr>
                </a:solidFill>
                <a:latin typeface="+mn-lt"/>
                <a:ea typeface="+mn-ea"/>
                <a:cs typeface="+mn-cs"/>
              </a:defRPr>
            </a:pPr>
            <a:endParaRPr lang="ru-RU"/>
          </a:p>
        </c:txPr>
        <c:crossAx val="228613120"/>
        <c:crosses val="autoZero"/>
        <c:auto val="1"/>
        <c:lblAlgn val="ctr"/>
        <c:lblOffset val="100"/>
        <c:noMultiLvlLbl val="0"/>
      </c:catAx>
      <c:valAx>
        <c:axId val="22861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cap="all">
                    <a:solidFill>
                      <a:schemeClr val="tx1">
                        <a:lumMod val="50000"/>
                        <a:lumOff val="50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50000"/>
                    <a:lumOff val="50000"/>
                  </a:schemeClr>
                </a:solidFill>
                <a:latin typeface="+mn-lt"/>
                <a:ea typeface="+mn-ea"/>
                <a:cs typeface="+mn-cs"/>
              </a:defRPr>
            </a:pPr>
            <a:endParaRPr lang="ru-RU"/>
          </a:p>
        </c:txPr>
        <c:crossAx val="228611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tx1">
                  <a:lumMod val="50000"/>
                  <a:lumOff val="50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7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label 0</c:f>
              <c:strCache>
                <c:ptCount val="1"/>
                <c:pt idx="0">
                  <c:v>Серія1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c:spPr>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c:spPr>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c:spPr>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c:spPr>
          </c:dPt>
          <c:dLbls>
            <c:dLbl>
              <c:idx val="0"/>
              <c:layout>
                <c:manualLayout>
                  <c:x val="2.4999999999999897E-2"/>
                  <c:y val="-0.11163349372995046"/>
                </c:manualLayout>
              </c:layout>
              <c:spPr>
                <a:solidFill>
                  <a:schemeClr val="lt1">
                    <a:alpha val="90000"/>
                  </a:schemeClr>
                </a:solidFill>
                <a:ln w="12700" cap="flat" cmpd="sng" algn="ctr">
                  <a:solidFill>
                    <a:schemeClr val="accent1"/>
                  </a:solidFill>
                  <a:round/>
                </a:ln>
                <a:effectLst>
                  <a:outerShdw blurRad="50800" dist="38100" dir="2700000"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1"/>
                      </a:solidFill>
                      <a:latin typeface="+mn-lt"/>
                      <a:ea typeface="+mn-ea"/>
                      <a:cs typeface="+mn-cs"/>
                    </a:defRPr>
                  </a:pPr>
                  <a:endParaRPr lang="ru-RU"/>
                </a:p>
              </c:txPr>
              <c:dLblPos val="bestFit"/>
              <c:showLegendKey val="0"/>
              <c:showVal val="0"/>
              <c:showCatName val="1"/>
              <c:showSerName val="0"/>
              <c:showPercent val="1"/>
              <c:showBubbleSize val="1"/>
            </c:dLbl>
            <c:dLbl>
              <c:idx val="1"/>
              <c:layout>
                <c:manualLayout>
                  <c:x val="9.4965004374452169E-3"/>
                  <c:y val="-2.0636118401866434E-2"/>
                </c:manualLayout>
              </c:layout>
              <c:spPr>
                <a:solidFill>
                  <a:schemeClr val="lt1">
                    <a:alpha val="90000"/>
                  </a:schemeClr>
                </a:solidFill>
                <a:ln w="12700" cap="flat" cmpd="sng" algn="ctr">
                  <a:solidFill>
                    <a:schemeClr val="accent2"/>
                  </a:solidFill>
                  <a:round/>
                </a:ln>
                <a:effectLst>
                  <a:outerShdw blurRad="50800" dist="38100" dir="2700000"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2"/>
                      </a:solidFill>
                      <a:latin typeface="+mn-lt"/>
                      <a:ea typeface="+mn-ea"/>
                      <a:cs typeface="+mn-cs"/>
                    </a:defRPr>
                  </a:pPr>
                  <a:endParaRPr lang="ru-RU"/>
                </a:p>
              </c:txPr>
              <c:dLblPos val="bestFit"/>
              <c:showLegendKey val="0"/>
              <c:showVal val="0"/>
              <c:showCatName val="1"/>
              <c:showSerName val="0"/>
              <c:showPercent val="1"/>
              <c:showBubbleSize val="1"/>
            </c:dLbl>
            <c:dLbl>
              <c:idx val="2"/>
              <c:layout>
                <c:manualLayout>
                  <c:x val="-1.8943569553806793E-3"/>
                  <c:y val="3.2454068241469729E-2"/>
                </c:manualLayout>
              </c:layout>
              <c:spPr>
                <a:solidFill>
                  <a:schemeClr val="lt1">
                    <a:alpha val="90000"/>
                  </a:schemeClr>
                </a:solidFill>
                <a:ln w="12700" cap="flat" cmpd="sng" algn="ctr">
                  <a:solidFill>
                    <a:schemeClr val="accent3"/>
                  </a:solidFill>
                  <a:round/>
                </a:ln>
                <a:effectLst>
                  <a:outerShdw blurRad="50800" dist="38100" dir="2700000"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3"/>
                      </a:solidFill>
                      <a:latin typeface="+mn-lt"/>
                      <a:ea typeface="+mn-ea"/>
                      <a:cs typeface="+mn-cs"/>
                    </a:defRPr>
                  </a:pPr>
                  <a:endParaRPr lang="ru-RU"/>
                </a:p>
              </c:txPr>
              <c:dLblPos val="bestFit"/>
              <c:showLegendKey val="0"/>
              <c:showVal val="0"/>
              <c:showCatName val="1"/>
              <c:showSerName val="0"/>
              <c:showPercent val="1"/>
              <c:showBubbleSize val="1"/>
            </c:dLbl>
            <c:dLbl>
              <c:idx val="3"/>
              <c:layout>
                <c:manualLayout>
                  <c:x val="-0.21534536307961508"/>
                  <c:y val="-0.13888888888888906"/>
                </c:manualLayout>
              </c:layout>
              <c:spPr>
                <a:solidFill>
                  <a:schemeClr val="lt1">
                    <a:alpha val="90000"/>
                  </a:schemeClr>
                </a:solidFill>
                <a:ln w="12700" cap="flat" cmpd="sng" algn="ctr">
                  <a:solidFill>
                    <a:schemeClr val="accent4"/>
                  </a:solidFill>
                  <a:round/>
                </a:ln>
                <a:effectLst>
                  <a:outerShdw blurRad="50800" dist="38100" dir="2700000"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4"/>
                      </a:solidFill>
                      <a:latin typeface="+mn-lt"/>
                      <a:ea typeface="+mn-ea"/>
                      <a:cs typeface="+mn-cs"/>
                    </a:defRPr>
                  </a:pPr>
                  <a:endParaRPr lang="ru-RU"/>
                </a:p>
              </c:txPr>
              <c:dLblPos val="bestFit"/>
              <c:showLegendKey val="0"/>
              <c:showVal val="0"/>
              <c:showCatName val="1"/>
              <c:showSerName val="0"/>
              <c:showPercent val="1"/>
              <c:showBubbleSize val="1"/>
            </c:dLbl>
            <c:dLbl>
              <c:idx val="4"/>
              <c:layout>
                <c:manualLayout>
                  <c:x val="6.7383858267716507E-2"/>
                  <c:y val="-1.4829396325459741E-3"/>
                </c:manualLayout>
              </c:layout>
              <c:spPr>
                <a:solidFill>
                  <a:schemeClr val="lt1">
                    <a:alpha val="90000"/>
                  </a:schemeClr>
                </a:solidFill>
                <a:ln w="12700" cap="flat" cmpd="sng" algn="ctr">
                  <a:solidFill>
                    <a:schemeClr val="accent5"/>
                  </a:solidFill>
                  <a:round/>
                </a:ln>
                <a:effectLst>
                  <a:outerShdw blurRad="50800" dist="38100" dir="2700000"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5"/>
                      </a:solidFill>
                      <a:latin typeface="+mn-lt"/>
                      <a:ea typeface="+mn-ea"/>
                      <a:cs typeface="+mn-cs"/>
                    </a:defRPr>
                  </a:pPr>
                  <a:endParaRPr lang="ru-RU"/>
                </a:p>
              </c:txPr>
              <c:dLblPos val="bestFit"/>
              <c:showLegendKey val="0"/>
              <c:showVal val="0"/>
              <c:showCatName val="1"/>
              <c:showSerName val="0"/>
              <c:showPercent val="1"/>
              <c:showBubbleSize val="1"/>
            </c:dLbl>
            <c:dLbl>
              <c:idx val="5"/>
              <c:layout>
                <c:manualLayout>
                  <c:x val="4.875196850393701E-2"/>
                  <c:y val="7.2292578011081951E-2"/>
                </c:manualLayout>
              </c:layout>
              <c:spPr>
                <a:solidFill>
                  <a:schemeClr val="lt1">
                    <a:alpha val="90000"/>
                  </a:schemeClr>
                </a:solidFill>
                <a:ln w="12700" cap="flat" cmpd="sng" algn="ctr">
                  <a:solidFill>
                    <a:schemeClr val="accent6"/>
                  </a:solidFill>
                  <a:round/>
                </a:ln>
                <a:effectLst>
                  <a:outerShdw blurRad="50800" dist="38100" dir="2700000"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6"/>
                      </a:solidFill>
                      <a:latin typeface="+mn-lt"/>
                      <a:ea typeface="+mn-ea"/>
                      <a:cs typeface="+mn-cs"/>
                    </a:defRPr>
                  </a:pPr>
                  <a:endParaRPr lang="ru-RU"/>
                </a:p>
              </c:txPr>
              <c:dLblPos val="bestFit"/>
              <c:showLegendKey val="0"/>
              <c:showVal val="0"/>
              <c:showCatName val="1"/>
              <c:showSerName val="0"/>
              <c:showPercent val="1"/>
              <c:showBubbleSize val="1"/>
            </c:dLbl>
            <c:dLbl>
              <c:idx val="6"/>
              <c:layout>
                <c:manualLayout>
                  <c:x val="-0.14476137357830271"/>
                  <c:y val="6.5402449693788278E-2"/>
                </c:manualLayout>
              </c:layout>
              <c:spPr>
                <a:solidFill>
                  <a:schemeClr val="lt1">
                    <a:alpha val="90000"/>
                  </a:schemeClr>
                </a:solidFill>
                <a:ln w="12700" cap="flat" cmpd="sng" algn="ctr">
                  <a:solidFill>
                    <a:schemeClr val="accent1">
                      <a:lumMod val="60000"/>
                    </a:schemeClr>
                  </a:solidFill>
                  <a:round/>
                </a:ln>
                <a:effectLst>
                  <a:outerShdw blurRad="50800" dist="38100" dir="2700000"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1">
                          <a:lumMod val="60000"/>
                        </a:schemeClr>
                      </a:solidFill>
                      <a:latin typeface="+mn-lt"/>
                      <a:ea typeface="+mn-ea"/>
                      <a:cs typeface="+mn-cs"/>
                    </a:defRPr>
                  </a:pPr>
                  <a:endParaRPr lang="ru-RU"/>
                </a:p>
              </c:txPr>
              <c:dLblPos val="bestFit"/>
              <c:showLegendKey val="0"/>
              <c:showVal val="0"/>
              <c:showCatName val="1"/>
              <c:showSerName val="0"/>
              <c:showPercent val="1"/>
              <c:showBubbleSize val="1"/>
            </c:dLbl>
            <c:dLbl>
              <c:idx val="7"/>
              <c:layout>
                <c:manualLayout>
                  <c:x val="-0.14722222222222212"/>
                  <c:y val="-0.17261009040536598"/>
                </c:manualLayout>
              </c:layout>
              <c:spPr>
                <a:solidFill>
                  <a:schemeClr val="lt1">
                    <a:alpha val="90000"/>
                  </a:schemeClr>
                </a:solidFill>
                <a:ln w="12700" cap="flat" cmpd="sng" algn="ctr">
                  <a:solidFill>
                    <a:schemeClr val="accent2">
                      <a:lumMod val="60000"/>
                    </a:schemeClr>
                  </a:solidFill>
                  <a:round/>
                </a:ln>
                <a:effectLst>
                  <a:outerShdw blurRad="50800" dist="38100" dir="2700000"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2">
                          <a:lumMod val="60000"/>
                        </a:schemeClr>
                      </a:solidFill>
                      <a:latin typeface="+mn-lt"/>
                      <a:ea typeface="+mn-ea"/>
                      <a:cs typeface="+mn-cs"/>
                    </a:defRPr>
                  </a:pPr>
                  <a:endParaRPr lang="ru-RU"/>
                </a:p>
              </c:txPr>
              <c:dLblPos val="bestFit"/>
              <c:showLegendKey val="0"/>
              <c:showVal val="0"/>
              <c:showCatName val="1"/>
              <c:showSerName val="0"/>
              <c:showPercent val="1"/>
              <c:showBubbleSize val="1"/>
            </c:dLbl>
            <c:spPr>
              <a:solidFill>
                <a:sysClr val="window" lastClr="FFFFFF">
                  <a:alpha val="90000"/>
                </a:sysClr>
              </a:solidFill>
              <a:ln w="12700" cap="flat" cmpd="sng" algn="ctr">
                <a:solidFill>
                  <a:srgbClr val="4472C4"/>
                </a:solidFill>
                <a:round/>
              </a:ln>
              <a:effectLst>
                <a:outerShdw blurRad="50800" dist="38100" dir="2700000" rotWithShape="0">
                  <a:srgbClr val="4472C4">
                    <a:lumMod val="75000"/>
                    <a:alpha val="40000"/>
                  </a:srgbClr>
                </a:outerShdw>
              </a:effectLst>
            </c:spPr>
            <c:dLblPos val="inEnd"/>
            <c:showLegendKey val="0"/>
            <c:showVal val="0"/>
            <c:showCatName val="1"/>
            <c:showSerName val="0"/>
            <c:showPercent val="1"/>
            <c:showBubbleSize val="1"/>
            <c:separator>
</c:separator>
            <c:showLeaderLines val="0"/>
          </c:dLbls>
          <c:cat>
            <c:strRef>
              <c:f>categories</c:f>
              <c:strCache>
                <c:ptCount val="8"/>
                <c:pt idx="0">
                  <c:v>Бензин</c:v>
                </c:pt>
                <c:pt idx="1">
                  <c:v>Дизель</c:v>
                </c:pt>
                <c:pt idx="2">
                  <c:v>Скраплений (зріджений) газ</c:v>
                </c:pt>
                <c:pt idx="3">
                  <c:v> Електрична енергія</c:v>
                </c:pt>
                <c:pt idx="4">
                  <c:v>Теплова енергія</c:v>
                </c:pt>
                <c:pt idx="5">
                  <c:v>Дрова </c:v>
                </c:pt>
                <c:pt idx="6">
                  <c:v>Природний газ</c:v>
                </c:pt>
                <c:pt idx="7">
                  <c:v>Торфобрикет</c:v>
                </c:pt>
              </c:strCache>
            </c:strRef>
          </c:cat>
          <c:val>
            <c:numRef>
              <c:f>0</c:f>
              <c:numCache>
                <c:formatCode>General</c:formatCode>
                <c:ptCount val="8"/>
                <c:pt idx="0">
                  <c:v>52.9</c:v>
                </c:pt>
                <c:pt idx="1">
                  <c:v>17630.12</c:v>
                </c:pt>
                <c:pt idx="2">
                  <c:v>6667.42</c:v>
                </c:pt>
                <c:pt idx="3">
                  <c:v>138714.41986772401</c:v>
                </c:pt>
                <c:pt idx="4">
                  <c:v>54461.823183333297</c:v>
                </c:pt>
                <c:pt idx="5">
                  <c:v>38430.402302670598</c:v>
                </c:pt>
                <c:pt idx="6">
                  <c:v>113431.936980599</c:v>
                </c:pt>
                <c:pt idx="7">
                  <c:v>414.286</c:v>
                </c:pt>
              </c:numCache>
            </c:numRef>
          </c:val>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1"/>
        <c:ser>
          <c:idx val="0"/>
          <c:order val="0"/>
          <c:tx>
            <c:strRef>
              <c:f>label 0</c:f>
              <c:strCache>
                <c:ptCount val="1"/>
                <c:pt idx="0">
                  <c:v>Заклади дошкільної освіти</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484.79899999999998</c:v>
                </c:pt>
                <c:pt idx="1">
                  <c:v>544.38</c:v>
                </c:pt>
                <c:pt idx="2">
                  <c:v>611.33399999999995</c:v>
                </c:pt>
                <c:pt idx="3">
                  <c:v>368.18</c:v>
                </c:pt>
                <c:pt idx="4">
                  <c:v>848.63400000000001</c:v>
                </c:pt>
                <c:pt idx="5">
                  <c:v>635.28</c:v>
                </c:pt>
              </c:numCache>
            </c:numRef>
          </c:val>
        </c:ser>
        <c:ser>
          <c:idx val="1"/>
          <c:order val="1"/>
          <c:tx>
            <c:strRef>
              <c:f>label 1</c:f>
              <c:strCache>
                <c:ptCount val="1"/>
                <c:pt idx="0">
                  <c:v>Заклади освіти</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4601.6790000000001</c:v>
                </c:pt>
                <c:pt idx="1">
                  <c:v>6900.3940000000002</c:v>
                </c:pt>
                <c:pt idx="2">
                  <c:v>6742.87</c:v>
                </c:pt>
                <c:pt idx="3">
                  <c:v>6197.8540000000003</c:v>
                </c:pt>
                <c:pt idx="4">
                  <c:v>10438.168</c:v>
                </c:pt>
                <c:pt idx="5">
                  <c:v>11940.618</c:v>
                </c:pt>
              </c:numCache>
            </c:numRef>
          </c:val>
        </c:ser>
        <c:ser>
          <c:idx val="2"/>
          <c:order val="2"/>
          <c:tx>
            <c:strRef>
              <c:f>label 2</c:f>
              <c:strCache>
                <c:ptCount val="1"/>
                <c:pt idx="0">
                  <c:v>Заклади охорони здоров’я</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2</c:f>
              <c:numCache>
                <c:formatCode>General</c:formatCode>
                <c:ptCount val="6"/>
                <c:pt idx="0">
                  <c:v>2341.1</c:v>
                </c:pt>
                <c:pt idx="1">
                  <c:v>2915.0666666666698</c:v>
                </c:pt>
                <c:pt idx="2">
                  <c:v>2552.2833333333301</c:v>
                </c:pt>
                <c:pt idx="3">
                  <c:v>3039.2166666666699</c:v>
                </c:pt>
                <c:pt idx="4">
                  <c:v>3366</c:v>
                </c:pt>
                <c:pt idx="5">
                  <c:v>3792.9</c:v>
                </c:pt>
              </c:numCache>
            </c:numRef>
          </c:val>
        </c:ser>
        <c:ser>
          <c:idx val="3"/>
          <c:order val="3"/>
          <c:tx>
            <c:strRef>
              <c:f>label 3</c:f>
              <c:strCache>
                <c:ptCount val="1"/>
                <c:pt idx="0">
                  <c:v>Інші бюджетні установи </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1"/>
            <c:separator>; </c:separator>
            <c:showLeaderLines val="0"/>
          </c:dLbls>
          <c:cat>
            <c:strRef>
              <c:f>categories</c:f>
              <c:strCache>
                <c:ptCount val="6"/>
                <c:pt idx="0">
                  <c:v>2017</c:v>
                </c:pt>
                <c:pt idx="1">
                  <c:v>2018</c:v>
                </c:pt>
                <c:pt idx="2">
                  <c:v>2019</c:v>
                </c:pt>
                <c:pt idx="3">
                  <c:v>2020</c:v>
                </c:pt>
                <c:pt idx="4">
                  <c:v>2021</c:v>
                </c:pt>
                <c:pt idx="5">
                  <c:v>2022</c:v>
                </c:pt>
              </c:strCache>
            </c:strRef>
          </c:cat>
          <c:val>
            <c:numRef>
              <c:f>3</c:f>
              <c:numCache>
                <c:formatCode>General</c:formatCode>
                <c:ptCount val="6"/>
                <c:pt idx="0">
                  <c:v>400.53715</c:v>
                </c:pt>
                <c:pt idx="1">
                  <c:v>840.47637999999995</c:v>
                </c:pt>
                <c:pt idx="2">
                  <c:v>959.86006999999995</c:v>
                </c:pt>
                <c:pt idx="3">
                  <c:v>789.67529000000002</c:v>
                </c:pt>
                <c:pt idx="4">
                  <c:v>1598.9988900000001</c:v>
                </c:pt>
                <c:pt idx="5">
                  <c:v>1735.52054</c:v>
                </c:pt>
              </c:numCache>
            </c:numRef>
          </c:val>
        </c:ser>
        <c:dLbls>
          <c:showLegendKey val="0"/>
          <c:showVal val="0"/>
          <c:showCatName val="0"/>
          <c:showSerName val="0"/>
          <c:showPercent val="0"/>
          <c:showBubbleSize val="0"/>
        </c:dLbls>
        <c:axId val="228702848"/>
        <c:axId val="228725504"/>
      </c:areaChart>
      <c:catAx>
        <c:axId val="2287028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Рік</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mn-lt"/>
                <a:ea typeface="+mn-ea"/>
                <a:cs typeface="+mn-cs"/>
              </a:defRPr>
            </a:pPr>
            <a:endParaRPr lang="ru-RU"/>
          </a:p>
        </c:txPr>
        <c:crossAx val="228725504"/>
        <c:crosses val="autoZero"/>
        <c:auto val="1"/>
        <c:lblAlgn val="ctr"/>
        <c:lblOffset val="100"/>
        <c:noMultiLvlLbl val="0"/>
      </c:catAx>
      <c:valAx>
        <c:axId val="2287255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a:solidFill>
                      <a:schemeClr val="dk1">
                        <a:lumMod val="65000"/>
                        <a:lumOff val="35000"/>
                      </a:schemeClr>
                    </a:solidFill>
                    <a:latin typeface="+mn-lt"/>
                    <a:ea typeface="+mn-ea"/>
                    <a:cs typeface="+mn-cs"/>
                  </a:defRPr>
                </a:pPr>
                <a:r>
                  <a:rPr lang="ru-RU"/>
                  <a:t>тис. грн</a:t>
                </a:r>
                <a:endParaRPr/>
              </a:p>
            </c:rich>
          </c:tx>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crossAx val="228702848"/>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ru-RU"/>
    </a:p>
  </c:txPr>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label 0</c:f>
              <c:strCache>
                <c:ptCount val="1"/>
                <c:pt idx="0">
                  <c:v>Серія1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c:spPr>
          </c:dPt>
          <c:dPt>
            <c:idx val="1"/>
            <c:bubble3D val="0"/>
            <c:explosion val="3"/>
            <c:spPr>
              <a:solidFill>
                <a:schemeClr val="accent2">
                  <a:alpha val="90000"/>
                </a:schemeClr>
              </a:solidFill>
              <a:ln w="19050">
                <a:solidFill>
                  <a:schemeClr val="accent2">
                    <a:lumMod val="75000"/>
                  </a:schemeClr>
                </a:solidFill>
              </a:ln>
              <a:effectLst>
                <a:innerShdw blurRad="114300">
                  <a:schemeClr val="accent2">
                    <a:lumMod val="75000"/>
                  </a:schemeClr>
                </a:innerShdw>
              </a:effectLst>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c:spPr>
          </c:dPt>
          <c:dLbls>
            <c:dLbl>
              <c:idx val="0"/>
              <c:layout>
                <c:manualLayout>
                  <c:x val="6.0163295770552495E-2"/>
                  <c:y val="1.9001814409362005E-2"/>
                </c:manualLayout>
              </c:layout>
              <c:spPr>
                <a:solidFill>
                  <a:schemeClr val="lt1">
                    <a:alpha val="90000"/>
                  </a:schemeClr>
                </a:solidFill>
                <a:ln w="12700" cap="flat" cmpd="sng" algn="ctr">
                  <a:solidFill>
                    <a:schemeClr val="accent1"/>
                  </a:solidFill>
                  <a:round/>
                </a:ln>
                <a:effectLst>
                  <a:outerShdw blurRad="50800" dist="38100" dir="2700000"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1"/>
                      </a:solidFill>
                      <a:latin typeface="+mn-lt"/>
                      <a:ea typeface="+mn-ea"/>
                      <a:cs typeface="+mn-cs"/>
                    </a:defRPr>
                  </a:pPr>
                  <a:endParaRPr lang="ru-RU"/>
                </a:p>
              </c:txPr>
              <c:dLblPos val="bestFit"/>
              <c:showLegendKey val="0"/>
              <c:showVal val="0"/>
              <c:showCatName val="1"/>
              <c:showSerName val="0"/>
              <c:showPercent val="1"/>
              <c:showBubbleSize val="1"/>
            </c:dLbl>
            <c:dLbl>
              <c:idx val="1"/>
              <c:spPr>
                <a:solidFill>
                  <a:schemeClr val="lt1">
                    <a:alpha val="90000"/>
                  </a:schemeClr>
                </a:solidFill>
                <a:ln w="12700" cap="flat" cmpd="sng" algn="ctr">
                  <a:solidFill>
                    <a:schemeClr val="accent2"/>
                  </a:solidFill>
                  <a:round/>
                </a:ln>
                <a:effectLst>
                  <a:outerShdw blurRad="50800" dist="38100" dir="2700000"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2"/>
                      </a:solidFill>
                      <a:latin typeface="+mn-lt"/>
                      <a:ea typeface="+mn-ea"/>
                      <a:cs typeface="+mn-cs"/>
                    </a:defRPr>
                  </a:pPr>
                  <a:endParaRPr lang="ru-RU"/>
                </a:p>
              </c:txPr>
              <c:dLblPos val="inEnd"/>
              <c:showLegendKey val="0"/>
              <c:showVal val="0"/>
              <c:showCatName val="1"/>
              <c:showSerName val="0"/>
              <c:showPercent val="1"/>
              <c:showBubbleSize val="1"/>
            </c:dLbl>
            <c:dLbl>
              <c:idx val="2"/>
              <c:layout>
                <c:manualLayout>
                  <c:x val="2.9822360056339519E-2"/>
                  <c:y val="7.4599137070379989E-2"/>
                </c:manualLayout>
              </c:layout>
              <c:spPr>
                <a:solidFill>
                  <a:schemeClr val="lt1">
                    <a:alpha val="90000"/>
                  </a:schemeClr>
                </a:solidFill>
                <a:ln w="12700" cap="flat" cmpd="sng" algn="ctr">
                  <a:solidFill>
                    <a:schemeClr val="accent3"/>
                  </a:solidFill>
                  <a:round/>
                </a:ln>
                <a:effectLst>
                  <a:outerShdw blurRad="50800" dist="38100" dir="2700000"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3"/>
                      </a:solidFill>
                      <a:latin typeface="+mn-lt"/>
                      <a:ea typeface="+mn-ea"/>
                      <a:cs typeface="+mn-cs"/>
                    </a:defRPr>
                  </a:pPr>
                  <a:endParaRPr lang="ru-RU"/>
                </a:p>
              </c:txPr>
              <c:dLblPos val="bestFit"/>
              <c:showLegendKey val="0"/>
              <c:showVal val="0"/>
              <c:showCatName val="1"/>
              <c:showSerName val="0"/>
              <c:showPercent val="1"/>
              <c:showBubbleSize val="1"/>
            </c:dLbl>
            <c:dLbl>
              <c:idx val="3"/>
              <c:layout>
                <c:manualLayout>
                  <c:x val="-2.2991607408594138E-2"/>
                  <c:y val="1.3848544565887367E-2"/>
                </c:manualLayout>
              </c:layout>
              <c:spPr>
                <a:solidFill>
                  <a:schemeClr val="lt1">
                    <a:alpha val="90000"/>
                  </a:schemeClr>
                </a:solidFill>
                <a:ln w="12700" cap="flat" cmpd="sng" algn="ctr">
                  <a:solidFill>
                    <a:schemeClr val="accent4"/>
                  </a:solidFill>
                  <a:round/>
                </a:ln>
                <a:effectLst>
                  <a:outerShdw blurRad="50800" dist="38100" dir="2700000"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a:solidFill>
                        <a:schemeClr val="accent4"/>
                      </a:solidFill>
                      <a:latin typeface="+mn-lt"/>
                      <a:ea typeface="+mn-ea"/>
                      <a:cs typeface="+mn-cs"/>
                    </a:defRPr>
                  </a:pPr>
                  <a:endParaRPr lang="ru-RU"/>
                </a:p>
              </c:txPr>
              <c:dLblPos val="bestFit"/>
              <c:showLegendKey val="0"/>
              <c:showVal val="0"/>
              <c:showCatName val="1"/>
              <c:showSerName val="0"/>
              <c:showPercent val="1"/>
              <c:showBubbleSize val="1"/>
            </c:dLbl>
            <c:spPr>
              <a:solidFill>
                <a:sysClr val="window" lastClr="FFFFFF">
                  <a:alpha val="90000"/>
                </a:sysClr>
              </a:solidFill>
              <a:ln w="12700" cap="flat" cmpd="sng" algn="ctr">
                <a:solidFill>
                  <a:srgbClr val="4472C4"/>
                </a:solidFill>
                <a:round/>
              </a:ln>
              <a:effectLst>
                <a:outerShdw blurRad="50800" dist="38100" dir="2700000" rotWithShape="0">
                  <a:srgbClr val="4472C4">
                    <a:lumMod val="75000"/>
                    <a:alpha val="40000"/>
                  </a:srgbClr>
                </a:outerShdw>
              </a:effectLst>
            </c:spPr>
            <c:dLblPos val="inEnd"/>
            <c:showLegendKey val="0"/>
            <c:showVal val="0"/>
            <c:showCatName val="1"/>
            <c:showSerName val="0"/>
            <c:showPercent val="1"/>
            <c:showBubbleSize val="1"/>
            <c:separator>
</c:separator>
            <c:showLeaderLines val="0"/>
          </c:dLbls>
          <c:cat>
            <c:strRef>
              <c:f>categories</c:f>
              <c:strCache>
                <c:ptCount val="4"/>
                <c:pt idx="0">
                  <c:v>Заклади дошкільної освіти</c:v>
                </c:pt>
                <c:pt idx="1">
                  <c:v>Заклади освіти</c:v>
                </c:pt>
                <c:pt idx="2">
                  <c:v>Заклади охорони здоров’я</c:v>
                </c:pt>
                <c:pt idx="3">
                  <c:v>Інші бюджетні установи </c:v>
                </c:pt>
              </c:strCache>
            </c:strRef>
          </c:cat>
          <c:val>
            <c:numRef>
              <c:f>0</c:f>
              <c:numCache>
                <c:formatCode>General</c:formatCode>
                <c:ptCount val="4"/>
                <c:pt idx="0">
                  <c:v>635.28</c:v>
                </c:pt>
                <c:pt idx="1">
                  <c:v>11940.618</c:v>
                </c:pt>
                <c:pt idx="2">
                  <c:v>3792.9</c:v>
                </c:pt>
                <c:pt idx="3">
                  <c:v>1735.52054</c:v>
                </c:pt>
              </c:numCache>
            </c:numRef>
          </c:val>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Носівської громади Чернігівської області (Проект)</Abstract>
  <CompanyAddress/>
  <CompanyPhone/>
  <CompanyFax/>
  <CompanyEmail/>
</CoverPageProperties>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70DB3-F1C7-41FE-9382-B15016FE05A7}">
  <ds:schemaRefs>
    <ds:schemaRef ds:uri="http://schemas.microsoft.com/office/2006/coverPageProps"/>
  </ds:schemaRefs>
</ds:datastoreItem>
</file>

<file path=customXml/itemProps2.xml><?xml version="1.0" encoding="utf-8"?>
<ds:datastoreItem xmlns:ds="http://schemas.openxmlformats.org/officeDocument/2006/customXml" ds:itemID="{5D0AEA6B-E499-4EEF-98A3-AFBB261C493E}">
  <ds:schemaRefs>
    <ds:schemaRef ds:uri="http://schemas.onlyoffice.com/settingsCustom"/>
    <ds:schemaRef ds:uri="http://schemas.openxmlformats.org/wordprocessingml/2006/main"/>
  </ds:schemaRefs>
</ds:datastoreItem>
</file>

<file path=customXml/itemProps3.xml><?xml version="1.0" encoding="utf-8"?>
<ds:datastoreItem xmlns:ds="http://schemas.openxmlformats.org/officeDocument/2006/customXml" ds:itemID="{2A425542-B136-4A15-A623-659CA2425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23024</Words>
  <Characters>131243</Characters>
  <Application>Microsoft Office Word</Application>
  <DocSecurity>0</DocSecurity>
  <Lines>1093</Lines>
  <Paragraphs>307</Paragraphs>
  <ScaleCrop>false</ScaleCrop>
  <Company/>
  <LinksUpToDate>false</LinksUpToDate>
  <CharactersWithSpaces>153960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МУНІЦИПАЛЬНИЙ ЕНЕРГЕТИЧНИЙ ПЛАН НОСІВСЬКОЇ ГРОМАДИ</dc:title>
  <dc:subject>(Чернігівська         область)</dc:subject>
  <dc:creator>Dmytro Sakaliuk</dc:creator>
  <cp:lastModifiedBy>user</cp:lastModifiedBy>
  <cp:revision>2</cp:revision>
  <dcterms:created xsi:type="dcterms:W3CDTF">2025-11-24T09:04:00Z</dcterms:created>
  <dcterms:modified xsi:type="dcterms:W3CDTF">2025-11-24T09:04:00Z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